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96F688">
      <w:pPr>
        <w:widowControl/>
        <w:ind w:right="296"/>
        <w:jc w:val="left"/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bookmarkStart w:id="0" w:name="_Hlk182553159"/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附件2</w:t>
      </w:r>
    </w:p>
    <w:bookmarkEnd w:id="0"/>
    <w:p w14:paraId="2A47BC95">
      <w:pPr>
        <w:jc w:val="center"/>
        <w:rPr>
          <w:rFonts w:ascii="Times New Roman" w:hAnsi="Times New Roman"/>
          <w:b/>
          <w:bCs/>
          <w:color w:val="auto"/>
          <w:sz w:val="30"/>
          <w:szCs w:val="30"/>
          <w:highlight w:val="none"/>
        </w:rPr>
      </w:pPr>
      <w:r>
        <w:rPr>
          <w:rFonts w:ascii="Times New Roman" w:hAnsi="Times New Roman"/>
          <w:b/>
          <w:bCs/>
          <w:color w:val="auto"/>
          <w:sz w:val="30"/>
          <w:szCs w:val="30"/>
          <w:highlight w:val="none"/>
        </w:rPr>
        <w:t>道路运输车辆达标车型申请表及填写规范-客车</w:t>
      </w:r>
    </w:p>
    <w:tbl>
      <w:tblPr>
        <w:tblStyle w:val="8"/>
        <w:tblW w:w="9761" w:type="dxa"/>
        <w:tblInd w:w="9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1"/>
        <w:gridCol w:w="2074"/>
        <w:gridCol w:w="6596"/>
      </w:tblGrid>
      <w:tr w14:paraId="096A9B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1091" w:type="dxa"/>
            <w:shd w:val="clear" w:color="auto" w:fill="auto"/>
            <w:vAlign w:val="center"/>
          </w:tcPr>
          <w:p w14:paraId="1EA06546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项目编号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0391B9B">
            <w:pPr>
              <w:widowControl/>
              <w:jc w:val="center"/>
              <w:textAlignment w:val="center"/>
              <w:rPr>
                <w:rFonts w:ascii="Times New Roman" w:hAnsi="Times New Roman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项目名称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249C8BD">
            <w:pPr>
              <w:widowControl/>
              <w:jc w:val="center"/>
              <w:textAlignment w:val="bottom"/>
              <w:rPr>
                <w:rFonts w:ascii="Times New Roman" w:hAnsi="Times New Roman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填写规范</w:t>
            </w:r>
          </w:p>
        </w:tc>
      </w:tr>
      <w:tr w14:paraId="5E062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091" w:type="dxa"/>
            <w:shd w:val="clear" w:color="auto" w:fill="auto"/>
            <w:vAlign w:val="center"/>
          </w:tcPr>
          <w:p w14:paraId="4089259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FF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  <w:highlight w:val="none"/>
                <w:lang w:bidi="ar"/>
              </w:rPr>
              <w:t>QA082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A6F2E9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color w:val="0000FF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0000FF"/>
                <w:kern w:val="0"/>
                <w:szCs w:val="21"/>
                <w:highlight w:val="none"/>
                <w:lang w:bidi="ar"/>
              </w:rPr>
              <w:t>比功率（kW/t）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97B4F89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1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比功率（kW/t）=发动机最大净功率（kW）/最大总质量（t），只舍位不进位，保留一位小数；</w:t>
            </w:r>
          </w:p>
          <w:p w14:paraId="0EAF253D">
            <w:pPr>
              <w:widowControl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0000FF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对纯电动、增程式、燃料电池汽车以及发动机不直接参与驱动的混合动力车型，填写“不适用”。</w:t>
            </w:r>
          </w:p>
        </w:tc>
      </w:tr>
      <w:tr w14:paraId="31DF4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</w:trPr>
        <w:tc>
          <w:tcPr>
            <w:tcW w:w="1091" w:type="dxa"/>
            <w:shd w:val="clear" w:color="auto" w:fill="auto"/>
            <w:vAlign w:val="center"/>
          </w:tcPr>
          <w:p w14:paraId="297ED2F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QC008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1EF711F1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燃料种类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9DF25ED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1.按《新产品公告》或车辆一致性证书参数填写；</w:t>
            </w:r>
          </w:p>
          <w:p w14:paraId="6BD5B456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2.填报汽油、柴油、LPG、CNG、LNG、汽油和LPG两用燃料、柴油和LPG双燃料、甲醇、甲醇和柴油双燃料等；</w:t>
            </w:r>
          </w:p>
          <w:p w14:paraId="78C4A705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3.纯电动汽车填报“纯电动”；</w:t>
            </w:r>
          </w:p>
          <w:p w14:paraId="6275B73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混合动力汽车填报“汽油/电混合动力”或“柴油/电混合动力”等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；</w:t>
            </w:r>
          </w:p>
          <w:p w14:paraId="5F1EB87C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5.燃料电池汽车填报“氢气”等；</w:t>
            </w:r>
          </w:p>
          <w:p w14:paraId="0E867DB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6.二甲醚汽车填报“二甲醚”；</w:t>
            </w:r>
          </w:p>
          <w:p w14:paraId="681CBF6F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7.种类相同，只填写一个；种类不同，按照发动机型号对应关系填写；</w:t>
            </w:r>
          </w:p>
          <w:p w14:paraId="1162A5F6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8.天然气类型应具体填写，如“CNG,LNG”；</w:t>
            </w:r>
          </w:p>
          <w:p w14:paraId="1CB07E72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9.如车辆同时具备CNG和LNG两种燃料体系，应填写“CNG/LNG”。</w:t>
            </w:r>
          </w:p>
          <w:p w14:paraId="62C65861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（系统下拉填写后，手动输入）</w:t>
            </w:r>
          </w:p>
        </w:tc>
      </w:tr>
      <w:tr w14:paraId="5A1B8C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091" w:type="dxa"/>
            <w:shd w:val="clear" w:color="auto" w:fill="auto"/>
            <w:vAlign w:val="center"/>
          </w:tcPr>
          <w:p w14:paraId="1F2C97D0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QA0701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65AC3E7C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最大总质量（kg）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DDB65AC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1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.客车和专用客车不得填报载质量，其总质量应≥整备质量＋乘员质量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（客车按GB/T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 xml:space="preserve"> 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12428-20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23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标准中规定核算）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677DA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72052DAA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QE020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38ED19D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车外行李架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2161930C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strike/>
                <w:dstrike w:val="0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strike w:val="0"/>
                <w:dstrike w:val="0"/>
                <w:color w:val="0000FF"/>
                <w:kern w:val="0"/>
                <w:sz w:val="22"/>
                <w:highlight w:val="none"/>
                <w:lang w:bidi="ar"/>
              </w:rPr>
              <w:t>填写“不适用”</w:t>
            </w:r>
            <w:r>
              <w:rPr>
                <w:rFonts w:hint="eastAsia" w:ascii="Times New Roman" w:hAnsi="Times New Roman"/>
                <w:strike w:val="0"/>
                <w:dstrike w:val="0"/>
                <w:color w:val="0000FF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56025F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22FA426A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QB0461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317DF4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车轴布置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E48D4A6">
            <w:pPr>
              <w:widowControl/>
              <w:numPr>
                <w:ilvl w:val="0"/>
                <w:numId w:val="1"/>
              </w:numPr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按照“第一轴”、“第二轴”、“第三轴”（根据申报车型轴数填写）填报转向轴/驱动轴/随动轴/提升轴。</w:t>
            </w:r>
          </w:p>
          <w:p w14:paraId="6FB24BAF">
            <w:pPr>
              <w:widowControl/>
              <w:numPr>
                <w:ilvl w:val="0"/>
                <w:numId w:val="1"/>
              </w:numPr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注：若存在轴组，应描述第X轴、第X轴为“二轴组”；若存在随动轴、可提升轴应具体描述,且需在备注栏注明随动轴和提升轴状态，例如：第X轴为随动轴不可提升；第X轴为可提升轴，且仅在空载状态下可提升。</w:t>
            </w:r>
          </w:p>
        </w:tc>
      </w:tr>
      <w:tr w14:paraId="0162E7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091" w:type="dxa"/>
            <w:shd w:val="clear" w:color="auto" w:fill="auto"/>
            <w:vAlign w:val="center"/>
          </w:tcPr>
          <w:p w14:paraId="1B9D6E3E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QB009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84BC4B8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轮胎规格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95C9EB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1.按照GB2977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、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GB2978（GB9744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、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GB9743）标准中的“轮胎规格”栏填报；</w:t>
            </w:r>
          </w:p>
          <w:p w14:paraId="1B80D03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2.前后一样只填报一个即可，前后不一样以“第一轴轮胎规格/第二轴轮胎规格/第三轴轮胎规格”的型式表达；</w:t>
            </w:r>
          </w:p>
          <w:p w14:paraId="6C344B3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轮胎应填写符合GB/T 2977标准要求的层级或负荷指数，且层级或负荷指数应符合对应各轴承载能力要求；轮胎上同时标注层级和负荷指数的，优先填写层级；轮胎上仅标注负荷指数的，应在备注栏中明确负荷指数；同一轮胎存在多个层级的，应将符合要求的层级全部列出。轮胎规格层级填写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如"11.00R20 16PR";</w:t>
            </w:r>
          </w:p>
          <w:p w14:paraId="5E731E85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4.选装多种轮胎时不同规格之间应以英文半角逗号“,”隔开，中间不留空格。</w:t>
            </w:r>
          </w:p>
        </w:tc>
      </w:tr>
      <w:tr w14:paraId="4ED6E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1B38D26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QE045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9E70CA8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安全顶窗型号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752814E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标准未要求的车型，选装该配置，需要填该参数，且提供性能报告，在备注栏描述选装该配置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4B4F55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940CB7E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QE046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B05F95D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安全顶窗生产企业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AD91C5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多个数值半角逗号分开。</w:t>
            </w:r>
          </w:p>
        </w:tc>
      </w:tr>
      <w:tr w14:paraId="24DEF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1" w:type="dxa"/>
            <w:shd w:val="clear" w:color="auto" w:fill="auto"/>
            <w:vAlign w:val="center"/>
          </w:tcPr>
          <w:p w14:paraId="5EE115F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QE044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764AF5A6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安全顶窗数量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DF93C03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多个数值半角逗号分开，并在备注栏说明选装对应关系；标准未要求的填写“不适用”。</w:t>
            </w:r>
          </w:p>
        </w:tc>
      </w:tr>
      <w:tr w14:paraId="3EE6F5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1091" w:type="dxa"/>
            <w:shd w:val="clear" w:color="auto" w:fill="auto"/>
            <w:vAlign w:val="center"/>
          </w:tcPr>
          <w:p w14:paraId="75D2FBD4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QE106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270736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安全顶窗位置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2A26BF2E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填写如“中”或“中后”等（前：代表前轴前，后：代表后轴后，中：代表两轴间）；多种选装位置用半角逗号分开，应与安全顶窗数量一一对应，标准未要求的填写“不适用”。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例如：数量：2；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位置：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中后或中中等，不能只写“中”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59EC1A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75C0E1B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QE048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137AD51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自动破玻器型式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101DA6F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填写电磁式、电动爆破式、火药爆破式等；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标准未要求的填写“不适用”。</w:t>
            </w:r>
          </w:p>
        </w:tc>
      </w:tr>
      <w:tr w14:paraId="3ABF1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18F617E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QE049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D7FADBC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自动破玻器型号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2A97F1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标准未要求的车型，选装该配置，需要填该参数，且提供性能报告，在备注栏描述选装该配置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4F3CCB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1091" w:type="dxa"/>
            <w:shd w:val="clear" w:color="auto" w:fill="auto"/>
            <w:vAlign w:val="center"/>
          </w:tcPr>
          <w:p w14:paraId="3698012E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QC001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755DA9F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发动机型号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93404A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1.发动机汽车：按照《车辆产品同一型号技术条件》填报；</w:t>
            </w:r>
          </w:p>
          <w:p w14:paraId="0A09DF00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2.纯电动、燃料电池汽车：填报驱动电机型号，后面用括号注明电动机。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如为轮边驱动型式有多个驱动电机同时装在一辆车上时，驱动电机型号用半角“/”隔开；</w:t>
            </w:r>
          </w:p>
          <w:p w14:paraId="3450FAE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3.混合动力汽车：填报发动机型号/驱动电机型号，用半角“/”隔开。</w:t>
            </w:r>
          </w:p>
          <w:p w14:paraId="22529D50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4.如有多个参数时，用英文半角逗号“,”隔开。</w:t>
            </w:r>
          </w:p>
        </w:tc>
      </w:tr>
      <w:tr w14:paraId="77284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123E6AA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QC004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0FF528C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发动机位置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153981D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填报“前置”、“中置”、或“后置。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按照样车实际状态填报，所有车均要填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5BB53C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091" w:type="dxa"/>
            <w:shd w:val="clear" w:color="auto" w:fill="auto"/>
            <w:vAlign w:val="center"/>
          </w:tcPr>
          <w:p w14:paraId="3FC893C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QD033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26B8D2B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燃气瓶位置（燃气汽车）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B1165E3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 气瓶安装位置填写对应气瓶数量，如"车架左侧1"。</w:t>
            </w:r>
          </w:p>
          <w:p w14:paraId="6D3F887D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 注意要与气瓶安装图纸保持一致；</w:t>
            </w:r>
          </w:p>
          <w:p w14:paraId="50D43EDF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 多个气瓶时需描述位置及数量、多配置时使用英文逗号“,”隔开、单配置时不可使用英文逗号“,”。</w:t>
            </w:r>
          </w:p>
          <w:p w14:paraId="6B74F26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 配置组合使用“+”隔开，并在不同位置后填写具体数值。如“车架下方4+车架上方 4”。</w:t>
            </w:r>
          </w:p>
          <w:p w14:paraId="584BC298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5. 同时选装LNG燃料CNG燃料，在每种配置的后面注明是LNG还是CNG</w:t>
            </w:r>
          </w:p>
          <w:p w14:paraId="55C0F17F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单配置填写示例：车架左侧2+车架右侧2+驾驶室后部4</w:t>
            </w:r>
          </w:p>
          <w:p w14:paraId="78B722B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多配置填写示例：车架左侧2+车架右侧2+驾驶室后部4（CNG）,车架左侧2+驾驶室后部4（CNG），驾驶室后部1（LNG）</w:t>
            </w:r>
          </w:p>
          <w:p w14:paraId="20721006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6.LNG燃料CNG燃料不管有多少种选装，气瓶位置分开填写，用半角逗号隔开，具体对应关系在备注栏说明，如1,2,3，加详细示例；</w:t>
            </w:r>
          </w:p>
        </w:tc>
      </w:tr>
      <w:tr w14:paraId="7E43F2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67E7CA31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QP015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DAABBB0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纯电续驶里程（km）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2A16F460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strike/>
                <w:dstrike w:val="0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bidi="ar"/>
              </w:rPr>
              <w:t>/</w:t>
            </w: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val="en-US" w:eastAsia="zh-CN" w:bidi="ar"/>
              </w:rPr>
              <w:t>删除</w:t>
            </w: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486FB2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91" w:type="dxa"/>
            <w:shd w:val="clear" w:color="auto" w:fill="auto"/>
            <w:vAlign w:val="center"/>
          </w:tcPr>
          <w:p w14:paraId="78AAB6D4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QF001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67F02A9A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变速器型式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5F59762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1.下拉选择“手动档”“自动档”“手自一体”“无”；</w:t>
            </w:r>
          </w:p>
          <w:p w14:paraId="04FECD4D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2.CVT类型在特殊说明栏中填写“CVT变速器”；</w:t>
            </w:r>
          </w:p>
          <w:p w14:paraId="2BDA8417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.电动汽车如没有变速器，只有固定速比、不能换档的中央减速器，应在特殊说明栏中填写“中央减速器”。</w:t>
            </w:r>
          </w:p>
          <w:p w14:paraId="7665B0D8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4、电驱桥车辆具备换挡功能按照具备变速器填写“手动档”“自动档”“手自一体”</w:t>
            </w:r>
          </w:p>
        </w:tc>
      </w:tr>
      <w:tr w14:paraId="082C99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91" w:type="dxa"/>
            <w:shd w:val="clear" w:color="auto" w:fill="auto"/>
            <w:vAlign w:val="center"/>
          </w:tcPr>
          <w:p w14:paraId="1F8EF0B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QF002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B5B9860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变速器档位数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8719516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1.用阿拉伯数字填报前进档位总数。对于CVT填报“不适用”；</w:t>
            </w:r>
          </w:p>
          <w:p w14:paraId="44CA8F89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2.电动汽车如只有一个固定速比、不能换档的中央减速器，填报阿拉伯数字“1”；</w:t>
            </w:r>
          </w:p>
          <w:p w14:paraId="712B8B6B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3.多个数值半角逗号分开。</w:t>
            </w:r>
          </w:p>
        </w:tc>
      </w:tr>
      <w:tr w14:paraId="4530DE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0" w:hRule="atLeast"/>
        </w:trPr>
        <w:tc>
          <w:tcPr>
            <w:tcW w:w="1091" w:type="dxa"/>
            <w:shd w:val="clear" w:color="auto" w:fill="auto"/>
            <w:vAlign w:val="center"/>
          </w:tcPr>
          <w:p w14:paraId="7AE9876A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QI005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1F817BF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主减速器速比（驱动桥速比）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C20EE6A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1.填写主减速器速比，多个数值应以英文半角逗号“,”隔开，中间不留空格；</w:t>
            </w:r>
          </w:p>
          <w:p w14:paraId="5874E19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2.如存在轮边减速器，按照“主减速器速比*轮边减速器速比”的最终值填写，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保留三位小数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；</w:t>
            </w:r>
          </w:p>
          <w:p w14:paraId="2F3B1E35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3.多个数值半角逗号分开。</w:t>
            </w:r>
          </w:p>
        </w:tc>
      </w:tr>
      <w:tr w14:paraId="234BB0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0" w:hRule="atLeast"/>
        </w:trPr>
        <w:tc>
          <w:tcPr>
            <w:tcW w:w="1091" w:type="dxa"/>
            <w:shd w:val="clear" w:color="auto" w:fill="auto"/>
            <w:vAlign w:val="center"/>
          </w:tcPr>
          <w:p w14:paraId="58F3745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QK009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3BC1CDA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后悬架钢板弹簧片数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D5BE80E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填报单侧的钢板弹簧片数，单轴只填一个数字，多轴的以“∕隔开”；非钢板弹簧的用半角的“-”代替。有主副簧的，以“主簧片数＋副簧片数”的型式表达，有多组钢板弹簧片数时，应分组填报并以半角格式的“,”隔开，中间不留空格。如：“3/6,6/8”。</w:t>
            </w: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钢板弹簧与空气悬架串联的复合悬架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，例如三片钢板弹簧与两个气囊并联用“3+－”表示；</w:t>
            </w:r>
          </w:p>
          <w:p w14:paraId="36C0D4D0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 填报阿拉伯数字，不允许填报字母、中文及其他符号；</w:t>
            </w:r>
          </w:p>
          <w:p w14:paraId="596D6378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3.多个数值半角逗号分开，一一对应。</w:t>
            </w:r>
          </w:p>
        </w:tc>
      </w:tr>
      <w:tr w14:paraId="30019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91" w:type="dxa"/>
            <w:shd w:val="clear" w:color="auto" w:fill="auto"/>
            <w:vAlign w:val="center"/>
          </w:tcPr>
          <w:p w14:paraId="1FF7C3AF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QL034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C4B4D71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其他乘员座椅固定方式（M2、M3）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492CF19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填写“螺栓连接（或焊接）”在“侧围骨架上（或地板上、地板骨架上）”等，填写座椅实际安装固定方式。如有应急门，需明确应急门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处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座椅的固定方式。</w:t>
            </w:r>
          </w:p>
        </w:tc>
      </w:tr>
      <w:tr w14:paraId="01B7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26DD5E85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QL040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F627F07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座椅脚蹬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01A1F27">
            <w:pPr>
              <w:widowControl/>
              <w:jc w:val="left"/>
              <w:textAlignment w:val="bottom"/>
              <w:rPr>
                <w:rFonts w:hint="default" w:ascii="Times New Roman" w:hAnsi="Times New Roman" w:eastAsia="宋体"/>
                <w:strike w:val="0"/>
                <w:dstrike w:val="0"/>
                <w:color w:val="0000FF"/>
                <w:sz w:val="22"/>
                <w:highlight w:val="none"/>
                <w:lang w:val="en-US" w:eastAsia="zh-CN"/>
              </w:rPr>
            </w:pPr>
            <w:r>
              <w:rPr>
                <w:rFonts w:ascii="Times New Roman" w:hAnsi="Times New Roman"/>
                <w:strike w:val="0"/>
                <w:dstrike w:val="0"/>
                <w:color w:val="0000FF"/>
                <w:kern w:val="0"/>
                <w:sz w:val="22"/>
                <w:highlight w:val="none"/>
                <w:lang w:bidi="ar"/>
              </w:rPr>
              <w:t>填写“不适用”</w:t>
            </w:r>
            <w:r>
              <w:rPr>
                <w:rFonts w:hint="eastAsia" w:ascii="Times New Roman" w:hAnsi="Times New Roman"/>
                <w:strike w:val="0"/>
                <w:dstrike w:val="0"/>
                <w:color w:val="0000FF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4FE440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6670EED4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7BACB5E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客舱内通道宽（mm）≥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44D15EA4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4FDF34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773C9DAC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QL043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D0ECDE9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座间距（同向）（mm）≥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6A869312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1C8489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8F71130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QL044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32FBC1D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座椅深（mm）≥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48BAF828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017342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91" w:type="dxa"/>
            <w:shd w:val="clear" w:color="auto" w:fill="auto"/>
            <w:vAlign w:val="center"/>
          </w:tcPr>
          <w:p w14:paraId="74412756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3F3D5F4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座椅横移（向通道）（mm）≥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CA0D9EC">
            <w:pPr>
              <w:widowControl/>
              <w:numPr>
                <w:ilvl w:val="0"/>
                <w:numId w:val="2"/>
              </w:numPr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325标准中对应的标准数值；标准未要求的填写“不适用”。</w:t>
            </w:r>
          </w:p>
          <w:p w14:paraId="00051750">
            <w:pPr>
              <w:widowControl/>
              <w:numPr>
                <w:ilvl w:val="0"/>
                <w:numId w:val="2"/>
              </w:numPr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JT/T 325标准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要求，且“</w:t>
            </w:r>
            <w:r>
              <w:rPr>
                <w:rFonts w:hint="eastAsia"/>
                <w:color w:val="0000FF"/>
                <w:highlight w:val="none"/>
              </w:rPr>
              <w:t>靠通道每个座椅两侧有扶手且间距不小于500mm时，不要求左右调整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”，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填写“不适用”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，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但需要</w:t>
            </w:r>
            <w:r>
              <w:rPr>
                <w:rFonts w:hint="eastAsia"/>
                <w:color w:val="0000FF"/>
                <w:highlight w:val="none"/>
              </w:rPr>
              <w:t>在备注中进行说明</w:t>
            </w:r>
            <w:r>
              <w:rPr>
                <w:rFonts w:hint="eastAsia"/>
                <w:color w:val="0000FF"/>
                <w:highlight w:val="none"/>
                <w:lang w:eastAsia="zh-CN"/>
              </w:rPr>
              <w:t>“</w:t>
            </w:r>
            <w:r>
              <w:rPr>
                <w:rFonts w:hint="eastAsia"/>
                <w:color w:val="0000FF"/>
                <w:highlight w:val="none"/>
              </w:rPr>
              <w:t>靠通道每个座椅两侧有扶手且间距不小于500mm</w:t>
            </w:r>
            <w:r>
              <w:rPr>
                <w:rFonts w:hint="eastAsia"/>
                <w:color w:val="0000FF"/>
                <w:highlight w:val="none"/>
                <w:lang w:eastAsia="zh-CN"/>
              </w:rPr>
              <w:t>”；</w:t>
            </w:r>
          </w:p>
          <w:p w14:paraId="0C0A1FA1">
            <w:pPr>
              <w:widowControl/>
              <w:numPr>
                <w:ilvl w:val="0"/>
                <w:numId w:val="2"/>
              </w:numPr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JT/T 325标准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要求，且选配“</w:t>
            </w:r>
            <w:r>
              <w:rPr>
                <w:rFonts w:hint="eastAsia"/>
                <w:color w:val="0000FF"/>
                <w:highlight w:val="none"/>
              </w:rPr>
              <w:t>靠通道每个座椅两侧有扶手且间距不小于500mm时，不要求左右调整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”，</w:t>
            </w:r>
            <w:r>
              <w:rPr>
                <w:rFonts w:hint="eastAsia"/>
                <w:color w:val="0000FF"/>
                <w:highlight w:val="none"/>
              </w:rPr>
              <w:t>填“60”</w:t>
            </w:r>
            <w:r>
              <w:rPr>
                <w:rFonts w:hint="eastAsia"/>
                <w:color w:val="0000FF"/>
                <w:highlight w:val="none"/>
                <w:lang w:eastAsia="zh-CN"/>
              </w:rPr>
              <w:t>，</w:t>
            </w:r>
            <w:r>
              <w:rPr>
                <w:rFonts w:hint="eastAsia"/>
                <w:color w:val="0000FF"/>
                <w:highlight w:val="none"/>
                <w:lang w:val="en-US" w:eastAsia="zh-CN"/>
              </w:rPr>
              <w:t>且</w:t>
            </w:r>
            <w:r>
              <w:rPr>
                <w:rFonts w:hint="eastAsia"/>
                <w:color w:val="0000FF"/>
                <w:highlight w:val="none"/>
              </w:rPr>
              <w:t>在备注中进行说明</w:t>
            </w:r>
            <w:r>
              <w:rPr>
                <w:rFonts w:hint="eastAsia"/>
                <w:color w:val="0000FF"/>
                <w:highlight w:val="none"/>
                <w:lang w:eastAsia="zh-CN"/>
              </w:rPr>
              <w:t>“</w:t>
            </w:r>
            <w:r>
              <w:rPr>
                <w:rFonts w:hint="eastAsia"/>
                <w:color w:val="0000FF"/>
                <w:highlight w:val="none"/>
                <w:lang w:val="en-US" w:eastAsia="zh-CN"/>
              </w:rPr>
              <w:t>选配</w:t>
            </w:r>
            <w:r>
              <w:rPr>
                <w:rFonts w:hint="eastAsia"/>
                <w:color w:val="0000FF"/>
                <w:highlight w:val="none"/>
              </w:rPr>
              <w:t>靠通道每个座椅两侧有扶手且间距不小于500mm</w:t>
            </w:r>
            <w:r>
              <w:rPr>
                <w:rFonts w:hint="eastAsia"/>
                <w:color w:val="0000FF"/>
                <w:highlight w:val="none"/>
                <w:lang w:eastAsia="zh-CN"/>
              </w:rPr>
              <w:t>”。</w:t>
            </w:r>
          </w:p>
        </w:tc>
      </w:tr>
      <w:tr w14:paraId="0056F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2D49D3B7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QL046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673CEDF0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座垫宽（mm）≥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1CDAFC8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6CC9CC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68467E77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QL047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EC8883A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靠背高（mm）≥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4BF545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7068A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222F9C97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QD013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4FAEDE4C">
            <w:pPr>
              <w:widowControl/>
              <w:jc w:val="left"/>
              <w:textAlignment w:val="center"/>
              <w:rPr>
                <w:rFonts w:ascii="Times New Roman" w:hAnsi="Times New Roman"/>
                <w:color w:val="0000FF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油箱侧面防护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2C458398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0000FF"/>
                <w:sz w:val="22"/>
                <w:highlight w:val="none"/>
                <w:lang w:eastAsia="zh-CN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下拉选择“符合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/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不适用”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/>
                <w:color w:val="0000FF"/>
                <w:szCs w:val="21"/>
                <w:highlight w:val="none"/>
              </w:rPr>
              <w:t>燃油箱侧面受到车身纵梁保护或车身为冲压一体式的营运客车</w:t>
            </w:r>
            <w:r>
              <w:rPr>
                <w:rFonts w:hint="eastAsia"/>
                <w:color w:val="0000FF"/>
                <w:szCs w:val="21"/>
                <w:highlight w:val="none"/>
                <w:lang w:eastAsia="zh-CN"/>
              </w:rPr>
              <w:t>，</w:t>
            </w:r>
            <w:r>
              <w:rPr>
                <w:rFonts w:hint="eastAsia"/>
                <w:color w:val="0000FF"/>
                <w:szCs w:val="21"/>
                <w:highlight w:val="none"/>
                <w:lang w:val="en-US" w:eastAsia="zh-CN"/>
              </w:rPr>
              <w:t>应填“符合”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eastAsia="zh-CN" w:bidi="ar"/>
              </w:rPr>
              <w:t>）</w:t>
            </w:r>
          </w:p>
        </w:tc>
      </w:tr>
      <w:tr w14:paraId="30033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91" w:type="dxa"/>
            <w:shd w:val="clear" w:color="auto" w:fill="auto"/>
            <w:vAlign w:val="center"/>
          </w:tcPr>
          <w:p w14:paraId="02E98376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QB025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ABA1C29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车道偏离预警系统（LDWS）类别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B064375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1.填Ⅰ类或Ⅱ类，适用于不同的弯道曲率半径，见GB/T 26773-2011；</w:t>
            </w:r>
          </w:p>
          <w:p w14:paraId="04102436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2.多配置时使用英文半角逗号“,”隔开，一一对应，标准未要求时填写“不适用”。</w:t>
            </w:r>
          </w:p>
        </w:tc>
      </w:tr>
      <w:tr w14:paraId="3D705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91" w:type="dxa"/>
            <w:shd w:val="clear" w:color="auto" w:fill="auto"/>
            <w:vAlign w:val="center"/>
          </w:tcPr>
          <w:p w14:paraId="324A62EE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QB0262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19DDCCB8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车道偏离预警系统（LDWS）前方障碍物探测传感器型式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AC4B8C2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填写传感器型式，如摄像头</w:t>
            </w:r>
            <w:bookmarkStart w:id="1" w:name="_GoBack"/>
            <w:bookmarkEnd w:id="1"/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4A28E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091" w:type="dxa"/>
            <w:shd w:val="clear" w:color="auto" w:fill="auto"/>
            <w:vAlign w:val="center"/>
          </w:tcPr>
          <w:p w14:paraId="3798D45D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QA048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765F9945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自动紧急制动系统（AEBS）前方障碍物探测传感器型式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1BC95D7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填写感知传感器型式，如毫米波雷达+摄像头。</w:t>
            </w:r>
          </w:p>
        </w:tc>
      </w:tr>
      <w:tr w14:paraId="4F900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1" w:type="dxa"/>
            <w:shd w:val="clear" w:color="auto" w:fill="auto"/>
            <w:vAlign w:val="center"/>
          </w:tcPr>
          <w:p w14:paraId="7BE00AD6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QA022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6347BF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限速装置型号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A00F1CF">
            <w:pPr>
              <w:widowControl/>
              <w:jc w:val="left"/>
              <w:textAlignment w:val="bottom"/>
              <w:rPr>
                <w:rFonts w:ascii="Times New Roman" w:hAnsi="Times New Roman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多个数值半角逗号分开，如为发动机ECU限速应与发动机一一对应，包含发动机ECU软件和硬件型号，如为电子限速应填写整车控制器型号。</w:t>
            </w:r>
          </w:p>
        </w:tc>
      </w:tr>
      <w:tr w14:paraId="1E15A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41EEAF6D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QM105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2DCD3260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发动机舱自动灭火装置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FA4E76F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sz w:val="22"/>
                <w:highlight w:val="none"/>
              </w:rPr>
            </w:pP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下拉选择有/不适用。</w:t>
            </w:r>
          </w:p>
        </w:tc>
      </w:tr>
      <w:tr w14:paraId="528603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091" w:type="dxa"/>
            <w:shd w:val="clear" w:color="auto" w:fill="auto"/>
            <w:vAlign w:val="center"/>
          </w:tcPr>
          <w:p w14:paraId="689D7B4C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QE027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7E0F45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超细干粉灭火装置的灭火方式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23174E2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sz w:val="22"/>
                <w:highlight w:val="none"/>
              </w:rPr>
            </w:pP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下拉选择全淹没灭火/局部应用灭火。</w:t>
            </w:r>
          </w:p>
        </w:tc>
      </w:tr>
      <w:tr w14:paraId="0F8721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215B21A1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QE103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FAD20C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超细干粉灭火装置位置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4F38E12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sz w:val="22"/>
                <w:highlight w:val="none"/>
              </w:rPr>
            </w:pPr>
            <w:r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填写发动机舱、高压设备舱等。</w:t>
            </w:r>
          </w:p>
        </w:tc>
      </w:tr>
      <w:tr w14:paraId="55ABD3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F241A9F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QA041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3B055913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卫生间型号（规格）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12A268B4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strike/>
                <w:dstrike w:val="0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val="en-US" w:eastAsia="zh-CN" w:bidi="ar"/>
              </w:rPr>
              <w:t>删除</w:t>
            </w:r>
          </w:p>
        </w:tc>
      </w:tr>
      <w:tr w14:paraId="224A22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0ABF21B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QA042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0345F44B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卫生间生产企业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10A4AA4B">
            <w:pPr>
              <w:widowControl/>
              <w:jc w:val="left"/>
              <w:textAlignment w:val="bottom"/>
              <w:rPr>
                <w:rFonts w:ascii="Times New Roman" w:hAnsi="Times New Roman"/>
                <w:strike/>
                <w:dstrike w:val="0"/>
                <w:color w:val="auto"/>
                <w:sz w:val="22"/>
                <w:highlight w:val="none"/>
              </w:rPr>
            </w:pP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val="en-US" w:eastAsia="zh-CN" w:bidi="ar"/>
              </w:rPr>
              <w:t>删除</w:t>
            </w:r>
          </w:p>
        </w:tc>
      </w:tr>
      <w:tr w14:paraId="055853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76DB333F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QA119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16CE589">
            <w:pPr>
              <w:widowControl/>
              <w:jc w:val="left"/>
              <w:textAlignment w:val="center"/>
              <w:rPr>
                <w:rFonts w:ascii="Times New Roman" w:hAnsi="Times New Roman"/>
                <w:strike w:val="0"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Cs w:val="21"/>
                <w:highlight w:val="none"/>
                <w:lang w:bidi="ar"/>
              </w:rPr>
              <w:t>卫生间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0182B109">
            <w:pPr>
              <w:widowControl/>
              <w:jc w:val="left"/>
              <w:textAlignment w:val="bottom"/>
              <w:rPr>
                <w:rFonts w:ascii="Times New Roman" w:hAnsi="Times New Roman"/>
                <w:strike/>
                <w:dstrike w:val="0"/>
                <w:color w:val="auto"/>
                <w:sz w:val="22"/>
                <w:highlight w:val="none"/>
              </w:rPr>
            </w:pPr>
            <w:r>
              <w:rPr>
                <w:rFonts w:ascii="Times New Roman" w:hAnsi="Times New Roman"/>
                <w:strike w:val="0"/>
                <w:dstrike w:val="0"/>
                <w:color w:val="auto"/>
                <w:kern w:val="0"/>
                <w:sz w:val="22"/>
                <w:highlight w:val="none"/>
                <w:lang w:bidi="ar"/>
              </w:rPr>
              <w:t>填写“不适用”</w:t>
            </w:r>
            <w:r>
              <w:rPr>
                <w:rFonts w:hint="eastAsia" w:ascii="Times New Roman" w:hAnsi="Times New Roman"/>
                <w:strike w:val="0"/>
                <w:dstrike w:val="0"/>
                <w:color w:val="auto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4324C1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57158E63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QA043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1C688EBF">
            <w:pPr>
              <w:widowControl/>
              <w:jc w:val="left"/>
              <w:textAlignment w:val="center"/>
              <w:rPr>
                <w:rFonts w:ascii="Times New Roman" w:hAnsi="Times New Roman"/>
                <w:strike/>
                <w:dstrike w:val="0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strike/>
                <w:dstrike w:val="0"/>
                <w:color w:val="auto"/>
                <w:kern w:val="0"/>
                <w:szCs w:val="21"/>
                <w:highlight w:val="none"/>
                <w:lang w:bidi="ar"/>
              </w:rPr>
              <w:t>卫生间位置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5A11ED4A">
            <w:pPr>
              <w:widowControl/>
              <w:jc w:val="left"/>
              <w:textAlignment w:val="bottom"/>
              <w:rPr>
                <w:rFonts w:ascii="Times New Roman" w:hAnsi="Times New Roman"/>
                <w:strike/>
                <w:dstrike w:val="0"/>
                <w:color w:val="auto"/>
                <w:sz w:val="22"/>
                <w:highlight w:val="none"/>
              </w:rPr>
            </w:pPr>
            <w:r>
              <w:rPr>
                <w:rFonts w:hint="eastAsia" w:ascii="Times New Roman" w:hAnsi="Times New Roman"/>
                <w:strike/>
                <w:dstrike w:val="0"/>
                <w:color w:val="auto"/>
                <w:kern w:val="0"/>
                <w:sz w:val="22"/>
                <w:highlight w:val="none"/>
                <w:lang w:val="en-US" w:eastAsia="zh-CN" w:bidi="ar"/>
              </w:rPr>
              <w:t>删除</w:t>
            </w:r>
          </w:p>
        </w:tc>
      </w:tr>
      <w:tr w14:paraId="421DA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1" w:type="dxa"/>
            <w:shd w:val="clear" w:color="auto" w:fill="auto"/>
            <w:vAlign w:val="center"/>
          </w:tcPr>
          <w:p w14:paraId="176C0B92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Cs w:val="21"/>
                <w:highlight w:val="none"/>
                <w:lang w:bidi="ar"/>
              </w:rPr>
              <w:t>QQ087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6E3B6F56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  <w:highlight w:val="none"/>
              </w:rPr>
              <w:t>充电接口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07D4D32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下拉选择“有/不适用”。</w:t>
            </w:r>
          </w:p>
        </w:tc>
      </w:tr>
      <w:tr w14:paraId="392F28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1" w:type="dxa"/>
            <w:shd w:val="clear" w:color="auto" w:fill="auto"/>
            <w:vAlign w:val="center"/>
          </w:tcPr>
          <w:p w14:paraId="7C684DA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Cs w:val="21"/>
                <w:highlight w:val="none"/>
                <w:lang w:bidi="ar"/>
              </w:rPr>
              <w:t>QQ088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9937189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</w:pP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  <w:highlight w:val="none"/>
              </w:rPr>
              <w:t>充电接口</w:t>
            </w: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  <w:highlight w:val="none"/>
                <w:lang w:val="en-US" w:eastAsia="zh-CN"/>
              </w:rPr>
              <w:t>数量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333C53CD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1.填写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车型安装充电接口总数量，可根据座椅布置填写范围值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；</w:t>
            </w:r>
          </w:p>
          <w:p w14:paraId="4836C547">
            <w:pPr>
              <w:widowControl/>
              <w:jc w:val="left"/>
              <w:textAlignment w:val="bottom"/>
              <w:rPr>
                <w:rFonts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2.标准未要求时填写“不适用”。</w:t>
            </w:r>
          </w:p>
        </w:tc>
      </w:tr>
      <w:tr w14:paraId="19336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91" w:type="dxa"/>
            <w:shd w:val="clear" w:color="auto" w:fill="auto"/>
            <w:vAlign w:val="center"/>
          </w:tcPr>
          <w:p w14:paraId="243D9388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QT004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2451C263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highlight w:val="none"/>
                <w:lang w:bidi="ar"/>
              </w:rPr>
              <w:t>综合燃料消耗量（油耗：L/100km或气耗：kg/100km）/单位额定载客人数综合燃料消耗量（油耗：L/1000人·km或气耗：kg/1000人·km）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D6E0F35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1.客车、乘用车应按照“油（气）耗值/单位额定载客人数油（气）耗值（发动机型号）”进行填报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；</w:t>
            </w:r>
          </w:p>
          <w:p w14:paraId="56C5C69C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同一型号发动机存在多个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“油（气）耗值/单位额定载客人数油（气）耗值（发动机型号）”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值，只需填报该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发动机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对应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的最大值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最恶劣值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）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进行填报。</w:t>
            </w:r>
          </w:p>
        </w:tc>
      </w:tr>
      <w:tr w14:paraId="5F8D85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1" w:type="dxa"/>
            <w:shd w:val="clear" w:color="auto" w:fill="auto"/>
            <w:vAlign w:val="center"/>
          </w:tcPr>
          <w:p w14:paraId="4ED12428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QT005</w:t>
            </w:r>
          </w:p>
        </w:tc>
        <w:tc>
          <w:tcPr>
            <w:tcW w:w="2074" w:type="dxa"/>
            <w:shd w:val="clear" w:color="auto" w:fill="auto"/>
            <w:vAlign w:val="center"/>
          </w:tcPr>
          <w:p w14:paraId="5EB8269B">
            <w:pPr>
              <w:widowControl/>
              <w:jc w:val="left"/>
              <w:textAlignment w:val="center"/>
              <w:rPr>
                <w:rFonts w:ascii="Times New Roman" w:hAnsi="Times New Roman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备注</w:t>
            </w:r>
          </w:p>
        </w:tc>
        <w:tc>
          <w:tcPr>
            <w:tcW w:w="6596" w:type="dxa"/>
            <w:shd w:val="clear" w:color="auto" w:fill="auto"/>
            <w:vAlign w:val="center"/>
          </w:tcPr>
          <w:p w14:paraId="760C0279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安全出口数量及组成、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道路运输车辆达标车型公告配置参数相关说明，如达标车型公告配置参数对应关系说明、选装达标车型公告配置情况说明等；</w:t>
            </w:r>
          </w:p>
          <w:p w14:paraId="555B37F2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如有选装照片，备注栏中应对照片中主要的选装内容进行描述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；</w:t>
            </w:r>
          </w:p>
          <w:p w14:paraId="51AF212D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备注栏中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描述的选装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配置，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需要同步填写至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申请表参数</w:t>
            </w: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；</w:t>
            </w:r>
          </w:p>
          <w:p w14:paraId="02198AE8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备注栏中如需描述选用轮辋型号时，</w:t>
            </w:r>
            <w:r>
              <w:rPr>
                <w:rFonts w:hint="eastAsia" w:ascii="Times New Roman" w:hAnsi="Times New Roman"/>
                <w:color w:val="auto"/>
                <w:sz w:val="22"/>
                <w:highlight w:val="none"/>
                <w:lang w:val="en-US" w:eastAsia="zh-CN"/>
              </w:rPr>
              <w:t>应</w:t>
            </w: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填写轮辋型号对应轮胎型号；</w:t>
            </w:r>
          </w:p>
          <w:p w14:paraId="2B242CE2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农村客货邮车型，注栏中应注明“最高车速xxkm/h仅应用于农村客货邮运输”；</w:t>
            </w:r>
          </w:p>
          <w:p w14:paraId="3E5DBB56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客车跨范围申报座位数，且出口数量多个，在备注栏中明确出口数量与座位数的对应关系；</w:t>
            </w:r>
          </w:p>
          <w:p w14:paraId="2CA336DF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客车，出口数量多配置时，应在备注栏明确如申报座位数量与出口的对应关系；</w:t>
            </w:r>
          </w:p>
          <w:p w14:paraId="6604CAF7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客车申请表中“空气调节装置”栏，对于中级车填报内容应跟地方的等级评定文件一致，如填报为“冷或暖”，试验样车的空气调节装置可以为“冷”、“暖”、“冷暖”，且申请表备注栏如有取消空调的选装状态，应注明取消空调时带有暖风装置；</w:t>
            </w:r>
          </w:p>
          <w:p w14:paraId="352C6A6A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轮胎规格带有负荷指数，需在备注栏中予以明确负荷指数；（非标胎需带负荷指数）</w:t>
            </w:r>
          </w:p>
          <w:p w14:paraId="6C5D27ED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  <w:t>客车，中型、大型、特大型高级车，如靠通道每个座椅两侧有扶手且间距不小于500mm时，不要求左右调整（座椅横移（向通道）），此时申请表“扶手（靠通道）”填“不适用”，“座椅横移（向通道）mm≥”填“不适用”，且必须在备注中进行说明，如“靠通道座椅每个座椅两侧有扶手且间距不小于500mm，无座椅横移（向通道）”，若车型配置还有“靠通道每个座椅两侧有扶手且间距小于500mm，靠通道座椅需横移状态”，申请表“座椅横移（向通道）mm≥”填“60”,不应填为“60,0”</w:t>
            </w:r>
            <w:r>
              <w:rPr>
                <w:rFonts w:hint="eastAsia" w:ascii="Times New Roman" w:hAnsi="Times New Roman"/>
                <w:color w:val="auto"/>
                <w:sz w:val="22"/>
                <w:highlight w:val="none"/>
                <w:lang w:eastAsia="zh-CN"/>
              </w:rPr>
              <w:t>。</w:t>
            </w:r>
          </w:p>
          <w:p w14:paraId="3F30EA51">
            <w:pPr>
              <w:widowControl/>
              <w:numPr>
                <w:ilvl w:val="0"/>
                <w:numId w:val="3"/>
              </w:numPr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sz w:val="22"/>
                <w:highlight w:val="none"/>
                <w:lang w:eastAsia="zh-CN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对于前置发动机舱位于客舱外，且在车外设舱盖的中级及以上的高一、高二、高三级车型，应在备注栏注明“前置发动机舱在客舱外，且在车外设舱盖”。</w:t>
            </w:r>
          </w:p>
        </w:tc>
      </w:tr>
    </w:tbl>
    <w:p w14:paraId="668DF6AD">
      <w:pPr>
        <w:rPr>
          <w:rFonts w:ascii="Times New Roman" w:hAnsi="Times New Roman"/>
          <w:color w:val="auto"/>
          <w:highlight w:val="none"/>
        </w:rPr>
      </w:pPr>
    </w:p>
    <w:p w14:paraId="07B6DCBF">
      <w:pPr>
        <w:rPr>
          <w:rFonts w:ascii="Times New Roman" w:hAnsi="Times New Roman"/>
          <w:color w:val="auto"/>
          <w:highlight w:val="none"/>
        </w:rPr>
        <w:sectPr>
          <w:footerReference r:id="rId3" w:type="default"/>
          <w:pgSz w:w="11906" w:h="16838"/>
          <w:pgMar w:top="1440" w:right="1080" w:bottom="1440" w:left="1080" w:header="851" w:footer="992" w:gutter="0"/>
          <w:pgNumType w:fmt="decimal"/>
          <w:cols w:space="425" w:num="1"/>
          <w:docGrid w:type="lines" w:linePitch="312" w:charSpace="0"/>
        </w:sectPr>
      </w:pPr>
    </w:p>
    <w:p w14:paraId="371704DB">
      <w:pPr>
        <w:jc w:val="center"/>
        <w:rPr>
          <w:rFonts w:hint="eastAsia" w:ascii="宋体" w:hAnsi="宋体"/>
          <w:b/>
          <w:bCs/>
          <w:color w:val="auto"/>
          <w:sz w:val="30"/>
          <w:szCs w:val="30"/>
          <w:highlight w:val="none"/>
        </w:rPr>
      </w:pPr>
      <w:r>
        <w:rPr>
          <w:rFonts w:hint="eastAsia" w:ascii="宋体" w:hAnsi="宋体"/>
          <w:b/>
          <w:bCs/>
          <w:color w:val="auto"/>
          <w:sz w:val="30"/>
          <w:szCs w:val="30"/>
          <w:highlight w:val="none"/>
        </w:rPr>
        <w:t>道路运输车辆达标车型申请表及填写规范-乘用车</w:t>
      </w:r>
    </w:p>
    <w:tbl>
      <w:tblPr>
        <w:tblStyle w:val="8"/>
        <w:tblW w:w="9790" w:type="dxa"/>
        <w:tblInd w:w="-6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0"/>
        <w:gridCol w:w="2087"/>
        <w:gridCol w:w="6613"/>
      </w:tblGrid>
      <w:tr w14:paraId="6722CF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Header/>
        </w:trPr>
        <w:tc>
          <w:tcPr>
            <w:tcW w:w="1090" w:type="dxa"/>
            <w:shd w:val="clear" w:color="auto" w:fill="auto"/>
            <w:vAlign w:val="center"/>
          </w:tcPr>
          <w:p w14:paraId="0D71A3B7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项目编号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6F64C91C">
            <w:pPr>
              <w:widowControl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0"/>
                <w:szCs w:val="21"/>
                <w:highlight w:val="none"/>
                <w:lang w:bidi="ar"/>
              </w:rPr>
              <w:t>项目名称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2AF51472">
            <w:pPr>
              <w:widowControl/>
              <w:jc w:val="center"/>
              <w:textAlignment w:val="bottom"/>
              <w:rPr>
                <w:rFonts w:hint="eastAsia" w:ascii="等线" w:hAnsi="等线" w:eastAsia="等线" w:cs="等线"/>
                <w:b/>
                <w:bCs/>
                <w:color w:val="auto"/>
                <w:sz w:val="22"/>
                <w:highlight w:val="none"/>
              </w:rPr>
            </w:pPr>
            <w:r>
              <w:rPr>
                <w:rFonts w:hint="eastAsia" w:ascii="等线" w:hAnsi="等线" w:eastAsia="等线" w:cs="等线"/>
                <w:b/>
                <w:bCs/>
                <w:color w:val="auto"/>
                <w:kern w:val="0"/>
                <w:sz w:val="22"/>
                <w:highlight w:val="none"/>
                <w:lang w:bidi="ar"/>
              </w:rPr>
              <w:t>填写规范</w:t>
            </w:r>
          </w:p>
        </w:tc>
      </w:tr>
      <w:tr w14:paraId="31E3C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7" w:hRule="atLeast"/>
        </w:trPr>
        <w:tc>
          <w:tcPr>
            <w:tcW w:w="1090" w:type="dxa"/>
            <w:shd w:val="clear" w:color="auto" w:fill="auto"/>
            <w:vAlign w:val="center"/>
          </w:tcPr>
          <w:p w14:paraId="0F19E1B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QA082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0C9F688F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比功率（kW/t）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10E44317">
            <w:pPr>
              <w:widowControl/>
              <w:jc w:val="left"/>
              <w:textAlignment w:val="bottom"/>
              <w:rPr>
                <w:rFonts w:hint="default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1、按照JT/T 325-2025表4对应乘用车等级的比功率限值要求填写。</w:t>
            </w:r>
          </w:p>
          <w:p w14:paraId="7CB90D59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kern w:val="0"/>
                <w:sz w:val="22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对纯电动、增程式、燃料电池汽车以及混合动力车型，填写“不适用”。</w:t>
            </w:r>
          </w:p>
        </w:tc>
      </w:tr>
      <w:tr w14:paraId="1B9F48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6234A20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QA1231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32CA014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Ⅰ轴至Ⅱ轴距离（mm）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46D5025D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0F7549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0" w:type="dxa"/>
            <w:shd w:val="clear" w:color="auto" w:fill="auto"/>
            <w:vAlign w:val="center"/>
          </w:tcPr>
          <w:p w14:paraId="35DD14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QB001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587ECA2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底盘型号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5A419A70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《新产品公告》或车辆一致性证书中底盘型号。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如底盘为全承载时此栏应填写承载式车身。</w:t>
            </w:r>
          </w:p>
        </w:tc>
      </w:tr>
      <w:tr w14:paraId="3AE4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5" w:hRule="atLeast"/>
        </w:trPr>
        <w:tc>
          <w:tcPr>
            <w:tcW w:w="1090" w:type="dxa"/>
            <w:shd w:val="clear" w:color="auto" w:fill="auto"/>
            <w:vAlign w:val="center"/>
          </w:tcPr>
          <w:p w14:paraId="75898ED7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QB009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1422B8EE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轮胎规格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1B43FE01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1.按照GB2977.GB2978（GB9744.GB9743）标准中的“轮胎规格”栏填报；</w:t>
            </w:r>
          </w:p>
          <w:p w14:paraId="580CA66F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2.前后一样只填报一个即可，前后不一样以“第一轴轮胎规格/第二轴轮胎规格/第三轴轮胎规格”的型式表达；</w:t>
            </w:r>
          </w:p>
          <w:p w14:paraId="32B693D6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3.轮胎应填写符合GB/T 2977标准要求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的层级或负荷指数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，且层级或负荷指数应符合对应各轴承载能力要求；轮胎上同时标注层级和负荷指数的，优先填写层级；轮胎上仅标注负荷指数的，应在备注栏中明确负荷指数；同一轮胎存在多个层级的，应将符合要求的层级全部列出。轮胎规格层级填写如"11.00R20 16PR";</w:t>
            </w:r>
          </w:p>
          <w:p w14:paraId="161B74A2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4.选装多种轮胎时不同规格之间应以英文半角逗号“,”隔开，中间不留空格。</w:t>
            </w:r>
          </w:p>
        </w:tc>
      </w:tr>
      <w:tr w14:paraId="709CF9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5" w:hRule="atLeast"/>
        </w:trPr>
        <w:tc>
          <w:tcPr>
            <w:tcW w:w="1090" w:type="dxa"/>
            <w:shd w:val="clear" w:color="auto" w:fill="auto"/>
            <w:vAlign w:val="center"/>
          </w:tcPr>
          <w:p w14:paraId="481AB693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QC001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38697F39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发动机型号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5E0CF64D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1.发动机汽车：按照《车辆产品同一型号技术条件》填报；</w:t>
            </w:r>
          </w:p>
          <w:p w14:paraId="431596F0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2.纯电动、燃料电池汽车：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填报驱动电机型号，后面用括号注明电动机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。如为轮边驱动型式有多个驱动电机同时装在一辆车上时，驱动电机型号用半角“/”隔开；</w:t>
            </w:r>
          </w:p>
          <w:p w14:paraId="64EC537D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3.混合动力汽车：填报</w:t>
            </w:r>
            <w:r>
              <w:rPr>
                <w:rFonts w:hint="eastAsia" w:ascii="Times New Roman" w:hAnsi="Times New Roman"/>
                <w:b w:val="0"/>
                <w:bCs w:val="0"/>
                <w:color w:val="auto"/>
                <w:kern w:val="0"/>
                <w:sz w:val="22"/>
                <w:highlight w:val="none"/>
                <w:lang w:bidi="ar"/>
              </w:rPr>
              <w:t>发动机型号/驱动电机型号</w:t>
            </w:r>
            <w:r>
              <w:rPr>
                <w:rFonts w:hint="eastAsia" w:ascii="Times New Roman" w:hAnsi="Times New Roman"/>
                <w:b w:val="0"/>
                <w:bCs w:val="0"/>
                <w:color w:val="auto"/>
                <w:kern w:val="0"/>
                <w:sz w:val="22"/>
                <w:highlight w:val="none"/>
                <w:lang w:eastAsia="zh-CN" w:bidi="ar"/>
              </w:rPr>
              <w:t>（电动机）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，用半角“/”隔开；</w:t>
            </w:r>
          </w:p>
          <w:p w14:paraId="45A4E868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4.如有多个参数时，用英文半角逗号“,”隔开。</w:t>
            </w:r>
          </w:p>
        </w:tc>
      </w:tr>
      <w:tr w14:paraId="4E6A3B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608C7BD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QL043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611D7D8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座间距（同向）（mm）≥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3ACACE01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4CF074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0EAD1F84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QL044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09E266E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座椅深（mm）≥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4A7E5547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246A5B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5418DC95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QL046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19BDAB2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座垫宽（mm）≥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4B5ACEDD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。</w:t>
            </w:r>
          </w:p>
        </w:tc>
      </w:tr>
      <w:tr w14:paraId="29ADD3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2C0EC06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QL047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5B6E0F4A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靠背高（mm）≥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0BBFDB49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填写JT/T 325标准中对应的标准数值。</w:t>
            </w:r>
          </w:p>
        </w:tc>
      </w:tr>
      <w:tr w14:paraId="01500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0" w:type="dxa"/>
            <w:shd w:val="clear" w:color="auto" w:fill="auto"/>
            <w:vAlign w:val="center"/>
          </w:tcPr>
          <w:p w14:paraId="4FC99956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QL048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3F027328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靠背角度可调(15°～30°)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59EAED5C">
            <w:pPr>
              <w:widowControl/>
              <w:jc w:val="left"/>
              <w:textAlignment w:val="bottom"/>
              <w:rPr>
                <w:rFonts w:hint="eastAsia" w:ascii="Times New Roman" w:hAnsi="Times New Roman" w:eastAsia="宋体"/>
                <w:color w:val="auto"/>
                <w:kern w:val="0"/>
                <w:sz w:val="22"/>
                <w:highlight w:val="none"/>
                <w:lang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填写15°～30°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。</w:t>
            </w:r>
          </w:p>
        </w:tc>
      </w:tr>
      <w:tr w14:paraId="4B74F4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0" w:type="dxa"/>
            <w:shd w:val="clear" w:color="auto" w:fill="auto"/>
            <w:vAlign w:val="center"/>
          </w:tcPr>
          <w:p w14:paraId="7467317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FF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Cs w:val="21"/>
                <w:highlight w:val="none"/>
                <w:lang w:bidi="ar"/>
              </w:rPr>
              <w:t>QQ087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7E70438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FF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</w:rPr>
              <w:t>充电接口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150D1FC0">
            <w:pPr>
              <w:widowControl/>
              <w:jc w:val="left"/>
              <w:textAlignment w:val="bottom"/>
              <w:rPr>
                <w:rFonts w:hint="eastAsia" w:ascii="Times New Roman" w:hAnsi="Times New Roman" w:eastAsia="宋体" w:cs="Times New Roman"/>
                <w:color w:val="auto"/>
                <w:kern w:val="0"/>
                <w:sz w:val="22"/>
                <w:szCs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下拉选择“有/不适用”。</w:t>
            </w:r>
          </w:p>
        </w:tc>
      </w:tr>
      <w:tr w14:paraId="72CB62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090" w:type="dxa"/>
            <w:shd w:val="clear" w:color="auto" w:fill="auto"/>
            <w:vAlign w:val="center"/>
          </w:tcPr>
          <w:p w14:paraId="3F7A0DF2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FF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/>
                <w:bCs/>
                <w:color w:val="0000FF"/>
                <w:kern w:val="0"/>
                <w:szCs w:val="21"/>
                <w:highlight w:val="none"/>
                <w:lang w:bidi="ar"/>
              </w:rPr>
              <w:t>QQ088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7D1CDA0E">
            <w:pPr>
              <w:widowControl/>
              <w:jc w:val="left"/>
              <w:textAlignment w:val="center"/>
              <w:rPr>
                <w:rFonts w:hint="eastAsia" w:ascii="宋体" w:hAnsi="宋体" w:cs="宋体"/>
                <w:b/>
                <w:bCs/>
                <w:color w:val="0000FF"/>
                <w:szCs w:val="21"/>
                <w:highlight w:val="none"/>
              </w:rPr>
            </w:pP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</w:rPr>
              <w:t>充电接口</w:t>
            </w:r>
            <w:r>
              <w:rPr>
                <w:rFonts w:hint="eastAsia" w:cs="Arial" w:asciiTheme="minorEastAsia" w:hAnsiTheme="minorEastAsia" w:eastAsiaTheme="minorEastAsia"/>
                <w:b/>
                <w:bCs/>
                <w:color w:val="0000FF"/>
                <w:kern w:val="2"/>
                <w:sz w:val="21"/>
                <w:szCs w:val="21"/>
                <w:lang w:val="en-US" w:eastAsia="zh-CN"/>
              </w:rPr>
              <w:t>数量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3759D486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1.填写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车型安装充电接口总数量，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可根据座椅布置填写范围值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bidi="ar"/>
              </w:rPr>
              <w:t>；</w:t>
            </w:r>
          </w:p>
          <w:p w14:paraId="464C3246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2.标准未要求时填写“不适用”。</w:t>
            </w:r>
          </w:p>
        </w:tc>
      </w:tr>
      <w:tr w14:paraId="000817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1090" w:type="dxa"/>
            <w:shd w:val="clear" w:color="auto" w:fill="auto"/>
            <w:vAlign w:val="center"/>
          </w:tcPr>
          <w:p w14:paraId="4F2A358B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ascii="Times New Roman" w:hAnsi="Times New Roman"/>
                <w:color w:val="auto"/>
                <w:kern w:val="0"/>
                <w:szCs w:val="21"/>
                <w:highlight w:val="none"/>
                <w:lang w:bidi="ar"/>
              </w:rPr>
              <w:t>QT004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6B98AD4D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kern w:val="0"/>
                <w:szCs w:val="21"/>
                <w:highlight w:val="none"/>
                <w:lang w:bidi="ar"/>
              </w:rPr>
              <w:t>综合燃料消耗量（油耗：L/100km或气耗：kg/100km）/单位额定载客人数综合燃料消耗量（油耗：L/1000人·km或气耗：kg/1000人·km）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0E473FCC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1.客车、乘用车应按照“油（气）耗值/单位额定载客人数油（气）耗值（发动机型号）”进行填报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，</w:t>
            </w:r>
            <w:r>
              <w:rPr>
                <w:rFonts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多个数值半角逗号分开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；</w:t>
            </w:r>
          </w:p>
          <w:p w14:paraId="0BDB082C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2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.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同一型号发动机存在多个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“油（气）耗值/单位额定载客人数油（气）耗值（发动机型号）”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值，只需填报该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发动机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对应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的最大值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（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最恶劣值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eastAsia="zh-CN" w:bidi="ar"/>
              </w:rPr>
              <w:t>）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。</w:t>
            </w:r>
          </w:p>
        </w:tc>
      </w:tr>
      <w:tr w14:paraId="63AE1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6" w:hRule="atLeast"/>
        </w:trPr>
        <w:tc>
          <w:tcPr>
            <w:tcW w:w="1090" w:type="dxa"/>
            <w:shd w:val="clear" w:color="auto" w:fill="auto"/>
            <w:vAlign w:val="center"/>
          </w:tcPr>
          <w:p w14:paraId="663EA241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QT009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5E4A297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特殊说明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2E0FF090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1、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填写影响车型申报方案判定的车型相关说明，</w:t>
            </w: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大于3.5t的传统乘用车应填变速器档位数及各档位传动比、轮胎布置情况。</w:t>
            </w:r>
          </w:p>
          <w:p w14:paraId="73988130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2、传统乘用车在特殊说明栏描述申报车型的比功率；</w:t>
            </w:r>
          </w:p>
          <w:p w14:paraId="28CE2259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3、在特殊说明栏描述申报车型的轴距设计值；</w:t>
            </w:r>
          </w:p>
          <w:p w14:paraId="0D73E459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4、燃料电池乘用车，在特殊说明栏中描述“该车是/否具备氢系统不工作（纯电动）模式”。</w:t>
            </w:r>
          </w:p>
          <w:p w14:paraId="54FEB5C1">
            <w:pPr>
              <w:widowControl/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5、撤销恢复车型，应说明该车型为撤销恢复车型，并注明该车型撤销批次，新增项目。</w:t>
            </w:r>
          </w:p>
          <w:p w14:paraId="42F2B8B8">
            <w:pPr>
              <w:widowControl/>
              <w:jc w:val="left"/>
              <w:textAlignment w:val="bottom"/>
              <w:rPr>
                <w:rFonts w:hint="default" w:ascii="Times New Roman" w:hAnsi="Times New Roman"/>
                <w:color w:val="FF0000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6、天然气乘用车，描述：气瓶容积、气瓶直径、加气口型式、排气管出口距加气口的距离。</w:t>
            </w:r>
          </w:p>
        </w:tc>
      </w:tr>
      <w:tr w14:paraId="46B47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90" w:type="dxa"/>
            <w:shd w:val="clear" w:color="auto" w:fill="auto"/>
            <w:vAlign w:val="center"/>
          </w:tcPr>
          <w:p w14:paraId="3D720C3C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QT005</w:t>
            </w:r>
          </w:p>
        </w:tc>
        <w:tc>
          <w:tcPr>
            <w:tcW w:w="2087" w:type="dxa"/>
            <w:shd w:val="clear" w:color="auto" w:fill="auto"/>
            <w:vAlign w:val="center"/>
          </w:tcPr>
          <w:p w14:paraId="1D0F31C0"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auto"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highlight w:val="none"/>
                <w:lang w:bidi="ar"/>
              </w:rPr>
              <w:t>备注</w:t>
            </w:r>
          </w:p>
        </w:tc>
        <w:tc>
          <w:tcPr>
            <w:tcW w:w="6613" w:type="dxa"/>
            <w:shd w:val="clear" w:color="auto" w:fill="auto"/>
            <w:vAlign w:val="center"/>
          </w:tcPr>
          <w:p w14:paraId="0C46AF15">
            <w:pPr>
              <w:widowControl/>
              <w:numPr>
                <w:ilvl w:val="0"/>
                <w:numId w:val="4"/>
              </w:numPr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填写道路运输车辆达标车型公告配置参数相关说明，如达标车型公告配置参数对应关系说明、选装达标车型公告配置情况说明等；</w:t>
            </w:r>
          </w:p>
          <w:p w14:paraId="46D2E5F5">
            <w:pPr>
              <w:widowControl/>
              <w:numPr>
                <w:ilvl w:val="0"/>
                <w:numId w:val="4"/>
              </w:numPr>
              <w:jc w:val="left"/>
              <w:textAlignment w:val="bottom"/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</w:pPr>
            <w:r>
              <w:rPr>
                <w:rFonts w:hint="eastAsia" w:ascii="Times New Roman" w:hAnsi="Times New Roman"/>
                <w:color w:val="auto"/>
                <w:kern w:val="0"/>
                <w:sz w:val="22"/>
                <w:highlight w:val="none"/>
                <w:lang w:bidi="ar"/>
              </w:rPr>
              <w:t>如有选装照片，备注栏中应对照片中主要的选装内容进行描述。</w:t>
            </w:r>
          </w:p>
          <w:p w14:paraId="063789D9">
            <w:pPr>
              <w:widowControl/>
              <w:numPr>
                <w:ilvl w:val="0"/>
                <w:numId w:val="4"/>
              </w:numPr>
              <w:ind w:left="0" w:leftChars="0" w:firstLine="0" w:firstLineChars="0"/>
              <w:jc w:val="left"/>
              <w:textAlignment w:val="bottom"/>
              <w:rPr>
                <w:rFonts w:hint="default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default" w:ascii="Times New Roman" w:hAnsi="Times New Roman"/>
                <w:color w:val="auto"/>
                <w:kern w:val="0"/>
                <w:sz w:val="22"/>
                <w:highlight w:val="none"/>
                <w:lang w:val="en-US" w:eastAsia="zh-CN" w:bidi="ar"/>
              </w:rPr>
              <w:t>如轮胎规格带有负荷指数，需在备注栏中予以明确负荷指数；（非标胎需带负荷指数）</w:t>
            </w:r>
          </w:p>
          <w:p w14:paraId="77012A50">
            <w:pPr>
              <w:widowControl/>
              <w:numPr>
                <w:ilvl w:val="0"/>
                <w:numId w:val="0"/>
              </w:numPr>
              <w:ind w:leftChars="0"/>
              <w:jc w:val="left"/>
              <w:textAlignment w:val="bottom"/>
              <w:rPr>
                <w:rFonts w:hint="default" w:ascii="Times New Roman" w:hAnsi="Times New Roman"/>
                <w:color w:val="FF0000"/>
                <w:kern w:val="0"/>
                <w:sz w:val="22"/>
                <w:highlight w:val="none"/>
                <w:lang w:val="en-US" w:eastAsia="zh-CN" w:bidi="ar"/>
              </w:rPr>
            </w:pP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4、填写申报车型</w:t>
            </w:r>
            <w:r>
              <w:rPr>
                <w:rFonts w:hint="default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温度自动控制</w:t>
            </w:r>
            <w:r>
              <w:rPr>
                <w:rFonts w:hint="eastAsia" w:ascii="Times New Roman" w:hAnsi="Times New Roman"/>
                <w:color w:val="0000FF"/>
                <w:kern w:val="0"/>
                <w:sz w:val="22"/>
                <w:highlight w:val="none"/>
                <w:lang w:val="en-US" w:eastAsia="zh-CN" w:bidi="ar"/>
              </w:rPr>
              <w:t>装置配置情况。</w:t>
            </w:r>
          </w:p>
        </w:tc>
      </w:tr>
    </w:tbl>
    <w:p w14:paraId="50FB38C9">
      <w:pPr>
        <w:rPr>
          <w:rFonts w:hint="eastAsia" w:ascii="Times New Roman" w:hAnsi="Times New Roman"/>
          <w:color w:val="auto"/>
          <w:highlight w:val="none"/>
          <w:lang w:eastAsia="zh-CN"/>
        </w:rPr>
      </w:pPr>
    </w:p>
    <w:p w14:paraId="081470DB">
      <w:pPr>
        <w:jc w:val="center"/>
        <w:rPr>
          <w:rFonts w:ascii="Times New Roman" w:hAnsi="Times New Roman"/>
          <w:b/>
          <w:bCs/>
          <w:color w:val="auto"/>
          <w:sz w:val="30"/>
          <w:szCs w:val="30"/>
          <w:highlight w:val="none"/>
        </w:rPr>
      </w:pPr>
    </w:p>
    <w:p w14:paraId="5D71CD9C">
      <w:pPr>
        <w:tabs>
          <w:tab w:val="left" w:pos="5417"/>
        </w:tabs>
        <w:rPr>
          <w:rFonts w:ascii="Times New Roman" w:hAnsi="Times New Roman" w:eastAsia="仿宋_GB2312"/>
          <w:color w:val="auto"/>
          <w:sz w:val="10"/>
          <w:szCs w:val="10"/>
          <w:highlight w:val="none"/>
        </w:rPr>
      </w:pPr>
      <w:r>
        <w:rPr>
          <w:rFonts w:hint="eastAsia" w:ascii="Times New Roman" w:hAnsi="Times New Roman"/>
          <w:color w:val="auto"/>
          <w:highlight w:val="none"/>
          <w:lang w:eastAsia="zh-CN"/>
        </w:rPr>
        <w:tab/>
      </w:r>
    </w:p>
    <w:sectPr>
      <w:pgSz w:w="11906" w:h="16838"/>
      <w:pgMar w:top="1440" w:right="1797" w:bottom="1440" w:left="179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C621195-DFF5-4332-B125-E928714DEB5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8109E1F-B3AE-441F-9531-7B18250A6C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8665D56-8ACC-4C22-AB79-1F1FA4477A6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4A5CB2A-88AF-48D7-86D7-D61EBEFDB6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CA33DBB-4705-42A7-A23B-A857304812F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A50C7359-A57C-4D76-BDE5-9F47EDE7562C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803C89EA-B7E9-4E34-AA5A-6D35C82F247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2DE41DC-2893-4F05-A078-CF7A44804382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55FC7B2C-763F-4EA3-91EC-03B05BD6A7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A0FEA6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5C3C9C">
                          <w:pPr>
                            <w:pStyle w:val="4"/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C5C3C9C">
                    <w:pPr>
                      <w:pStyle w:val="4"/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105717"/>
    <w:multiLevelType w:val="singleLevel"/>
    <w:tmpl w:val="C510571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D04CFFEC"/>
    <w:multiLevelType w:val="singleLevel"/>
    <w:tmpl w:val="D04CFFE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C16682E"/>
    <w:multiLevelType w:val="singleLevel"/>
    <w:tmpl w:val="DC16682E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5E05C13E"/>
    <w:multiLevelType w:val="singleLevel"/>
    <w:tmpl w:val="5E05C13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hmOGNjMTIyNGU4ZTMxNTA1MjNhNWM5NzhjMTdhYjUifQ=="/>
  </w:docVars>
  <w:rsids>
    <w:rsidRoot w:val="00101BB7"/>
    <w:rsid w:val="0000533F"/>
    <w:rsid w:val="0000604C"/>
    <w:rsid w:val="00020BC6"/>
    <w:rsid w:val="000216F6"/>
    <w:rsid w:val="00021B76"/>
    <w:rsid w:val="00022C5B"/>
    <w:rsid w:val="00024ACD"/>
    <w:rsid w:val="00044857"/>
    <w:rsid w:val="000564AD"/>
    <w:rsid w:val="00081929"/>
    <w:rsid w:val="000901FD"/>
    <w:rsid w:val="0009229B"/>
    <w:rsid w:val="000A2650"/>
    <w:rsid w:val="000A4E9E"/>
    <w:rsid w:val="000B000C"/>
    <w:rsid w:val="000B0318"/>
    <w:rsid w:val="000C29E4"/>
    <w:rsid w:val="000E1222"/>
    <w:rsid w:val="000E18CD"/>
    <w:rsid w:val="000E6100"/>
    <w:rsid w:val="000F2076"/>
    <w:rsid w:val="000F47B9"/>
    <w:rsid w:val="000F69CD"/>
    <w:rsid w:val="00101BB7"/>
    <w:rsid w:val="0010204F"/>
    <w:rsid w:val="00104525"/>
    <w:rsid w:val="00104584"/>
    <w:rsid w:val="001135ED"/>
    <w:rsid w:val="0012716B"/>
    <w:rsid w:val="001272C4"/>
    <w:rsid w:val="0014195A"/>
    <w:rsid w:val="00144349"/>
    <w:rsid w:val="00145E04"/>
    <w:rsid w:val="00154E41"/>
    <w:rsid w:val="00156680"/>
    <w:rsid w:val="00163B50"/>
    <w:rsid w:val="00166890"/>
    <w:rsid w:val="0017151F"/>
    <w:rsid w:val="001728BA"/>
    <w:rsid w:val="00177906"/>
    <w:rsid w:val="00186581"/>
    <w:rsid w:val="001900F8"/>
    <w:rsid w:val="001A2B43"/>
    <w:rsid w:val="001C086E"/>
    <w:rsid w:val="001D2438"/>
    <w:rsid w:val="0020261B"/>
    <w:rsid w:val="0021254C"/>
    <w:rsid w:val="00222F9B"/>
    <w:rsid w:val="00232B99"/>
    <w:rsid w:val="002334ED"/>
    <w:rsid w:val="002344B0"/>
    <w:rsid w:val="002374AE"/>
    <w:rsid w:val="0024715C"/>
    <w:rsid w:val="00250EAD"/>
    <w:rsid w:val="002532C9"/>
    <w:rsid w:val="00253B6F"/>
    <w:rsid w:val="00257B58"/>
    <w:rsid w:val="00260821"/>
    <w:rsid w:val="00262BF4"/>
    <w:rsid w:val="002659D1"/>
    <w:rsid w:val="002671A0"/>
    <w:rsid w:val="00271C6B"/>
    <w:rsid w:val="00274144"/>
    <w:rsid w:val="002802C0"/>
    <w:rsid w:val="002836BE"/>
    <w:rsid w:val="00286482"/>
    <w:rsid w:val="00287A86"/>
    <w:rsid w:val="00292C61"/>
    <w:rsid w:val="00292EEC"/>
    <w:rsid w:val="00296694"/>
    <w:rsid w:val="00296988"/>
    <w:rsid w:val="002A0C6D"/>
    <w:rsid w:val="002A12A8"/>
    <w:rsid w:val="002A2783"/>
    <w:rsid w:val="002A6F2F"/>
    <w:rsid w:val="002A72D1"/>
    <w:rsid w:val="002B2727"/>
    <w:rsid w:val="002D3382"/>
    <w:rsid w:val="002D7AA2"/>
    <w:rsid w:val="00300087"/>
    <w:rsid w:val="00305802"/>
    <w:rsid w:val="003118AC"/>
    <w:rsid w:val="0031316A"/>
    <w:rsid w:val="00313D16"/>
    <w:rsid w:val="0031402B"/>
    <w:rsid w:val="00314FA9"/>
    <w:rsid w:val="00315433"/>
    <w:rsid w:val="00330BED"/>
    <w:rsid w:val="00335E8A"/>
    <w:rsid w:val="00335E98"/>
    <w:rsid w:val="00336FC2"/>
    <w:rsid w:val="003508B7"/>
    <w:rsid w:val="00363C30"/>
    <w:rsid w:val="003677F0"/>
    <w:rsid w:val="003713AD"/>
    <w:rsid w:val="0038011F"/>
    <w:rsid w:val="00383FD2"/>
    <w:rsid w:val="00384710"/>
    <w:rsid w:val="003A1E3C"/>
    <w:rsid w:val="003B1EDF"/>
    <w:rsid w:val="003B62CA"/>
    <w:rsid w:val="003B6B70"/>
    <w:rsid w:val="003B6E9F"/>
    <w:rsid w:val="003B7A62"/>
    <w:rsid w:val="003B7F1F"/>
    <w:rsid w:val="003C0703"/>
    <w:rsid w:val="003D16AE"/>
    <w:rsid w:val="003E452C"/>
    <w:rsid w:val="003F0A0E"/>
    <w:rsid w:val="003F46A6"/>
    <w:rsid w:val="003F7868"/>
    <w:rsid w:val="00403961"/>
    <w:rsid w:val="004156D9"/>
    <w:rsid w:val="00420CFB"/>
    <w:rsid w:val="00427E2D"/>
    <w:rsid w:val="00435E59"/>
    <w:rsid w:val="00445614"/>
    <w:rsid w:val="00460B79"/>
    <w:rsid w:val="004633A4"/>
    <w:rsid w:val="004662FF"/>
    <w:rsid w:val="00467144"/>
    <w:rsid w:val="00471196"/>
    <w:rsid w:val="004728DB"/>
    <w:rsid w:val="00481E39"/>
    <w:rsid w:val="00484E67"/>
    <w:rsid w:val="00487749"/>
    <w:rsid w:val="0049723F"/>
    <w:rsid w:val="004B14BB"/>
    <w:rsid w:val="004B1883"/>
    <w:rsid w:val="004C15C0"/>
    <w:rsid w:val="004C7EC8"/>
    <w:rsid w:val="004E3697"/>
    <w:rsid w:val="00506B9E"/>
    <w:rsid w:val="00515B5B"/>
    <w:rsid w:val="00526A32"/>
    <w:rsid w:val="00527E0C"/>
    <w:rsid w:val="00535341"/>
    <w:rsid w:val="00535EA6"/>
    <w:rsid w:val="00541741"/>
    <w:rsid w:val="0054231F"/>
    <w:rsid w:val="005470CA"/>
    <w:rsid w:val="0057085C"/>
    <w:rsid w:val="00572276"/>
    <w:rsid w:val="00577509"/>
    <w:rsid w:val="00581A63"/>
    <w:rsid w:val="005842E2"/>
    <w:rsid w:val="00586220"/>
    <w:rsid w:val="0058657B"/>
    <w:rsid w:val="00587AB7"/>
    <w:rsid w:val="005A0E14"/>
    <w:rsid w:val="005B58D7"/>
    <w:rsid w:val="005C301C"/>
    <w:rsid w:val="005C3158"/>
    <w:rsid w:val="005C5C72"/>
    <w:rsid w:val="005C67C2"/>
    <w:rsid w:val="005D6E30"/>
    <w:rsid w:val="005E2409"/>
    <w:rsid w:val="005E6B35"/>
    <w:rsid w:val="005F1F67"/>
    <w:rsid w:val="006020E8"/>
    <w:rsid w:val="00614016"/>
    <w:rsid w:val="00614ACF"/>
    <w:rsid w:val="00624324"/>
    <w:rsid w:val="00641810"/>
    <w:rsid w:val="00655C75"/>
    <w:rsid w:val="00667C01"/>
    <w:rsid w:val="00682BE6"/>
    <w:rsid w:val="00685D78"/>
    <w:rsid w:val="006946B6"/>
    <w:rsid w:val="006972BA"/>
    <w:rsid w:val="006A1F49"/>
    <w:rsid w:val="006A445C"/>
    <w:rsid w:val="006A45F5"/>
    <w:rsid w:val="006A4C0C"/>
    <w:rsid w:val="006A527F"/>
    <w:rsid w:val="006B4D7C"/>
    <w:rsid w:val="006B6EB1"/>
    <w:rsid w:val="006C009A"/>
    <w:rsid w:val="006C7808"/>
    <w:rsid w:val="006D4468"/>
    <w:rsid w:val="006E3E07"/>
    <w:rsid w:val="006F3CD3"/>
    <w:rsid w:val="0070689F"/>
    <w:rsid w:val="00710373"/>
    <w:rsid w:val="00710A8D"/>
    <w:rsid w:val="007148DD"/>
    <w:rsid w:val="00721F87"/>
    <w:rsid w:val="007319A1"/>
    <w:rsid w:val="0073300C"/>
    <w:rsid w:val="007345E3"/>
    <w:rsid w:val="0074043D"/>
    <w:rsid w:val="00744D74"/>
    <w:rsid w:val="00755A9E"/>
    <w:rsid w:val="00765060"/>
    <w:rsid w:val="007653F2"/>
    <w:rsid w:val="0078284F"/>
    <w:rsid w:val="00787D0D"/>
    <w:rsid w:val="007901F4"/>
    <w:rsid w:val="0079448C"/>
    <w:rsid w:val="007975C9"/>
    <w:rsid w:val="007A3F60"/>
    <w:rsid w:val="007C4A56"/>
    <w:rsid w:val="007D162B"/>
    <w:rsid w:val="007E2A08"/>
    <w:rsid w:val="007E325C"/>
    <w:rsid w:val="008126F7"/>
    <w:rsid w:val="00822455"/>
    <w:rsid w:val="0082347D"/>
    <w:rsid w:val="008316E8"/>
    <w:rsid w:val="00840986"/>
    <w:rsid w:val="00841E2F"/>
    <w:rsid w:val="0084217C"/>
    <w:rsid w:val="00845E82"/>
    <w:rsid w:val="0084650C"/>
    <w:rsid w:val="00853BCA"/>
    <w:rsid w:val="0086217E"/>
    <w:rsid w:val="00876512"/>
    <w:rsid w:val="00886A4B"/>
    <w:rsid w:val="00891000"/>
    <w:rsid w:val="00895AB6"/>
    <w:rsid w:val="008A07EE"/>
    <w:rsid w:val="008A1F42"/>
    <w:rsid w:val="008C2C37"/>
    <w:rsid w:val="008C462E"/>
    <w:rsid w:val="008C4761"/>
    <w:rsid w:val="008D1DB3"/>
    <w:rsid w:val="008D26E6"/>
    <w:rsid w:val="008D3EA4"/>
    <w:rsid w:val="008D4B60"/>
    <w:rsid w:val="008D7561"/>
    <w:rsid w:val="008E09B1"/>
    <w:rsid w:val="008F61E8"/>
    <w:rsid w:val="008F6866"/>
    <w:rsid w:val="009009CE"/>
    <w:rsid w:val="0090233F"/>
    <w:rsid w:val="009075B0"/>
    <w:rsid w:val="00925AE4"/>
    <w:rsid w:val="00933575"/>
    <w:rsid w:val="00934545"/>
    <w:rsid w:val="00941EC9"/>
    <w:rsid w:val="00944BE8"/>
    <w:rsid w:val="00951825"/>
    <w:rsid w:val="009568A9"/>
    <w:rsid w:val="009619B9"/>
    <w:rsid w:val="00962A85"/>
    <w:rsid w:val="00962B32"/>
    <w:rsid w:val="00963187"/>
    <w:rsid w:val="00963247"/>
    <w:rsid w:val="00966B5E"/>
    <w:rsid w:val="009705EA"/>
    <w:rsid w:val="00973003"/>
    <w:rsid w:val="0097585A"/>
    <w:rsid w:val="009827B8"/>
    <w:rsid w:val="00985564"/>
    <w:rsid w:val="00986A8C"/>
    <w:rsid w:val="0099008B"/>
    <w:rsid w:val="00993706"/>
    <w:rsid w:val="00995ADB"/>
    <w:rsid w:val="009A15A3"/>
    <w:rsid w:val="009C37B8"/>
    <w:rsid w:val="009C3D24"/>
    <w:rsid w:val="009C6EAD"/>
    <w:rsid w:val="009E11C7"/>
    <w:rsid w:val="009E2A10"/>
    <w:rsid w:val="009E61F2"/>
    <w:rsid w:val="009F11BE"/>
    <w:rsid w:val="009F6456"/>
    <w:rsid w:val="009F76E2"/>
    <w:rsid w:val="00A01040"/>
    <w:rsid w:val="00A12BEE"/>
    <w:rsid w:val="00A1497D"/>
    <w:rsid w:val="00A17FB7"/>
    <w:rsid w:val="00A34B23"/>
    <w:rsid w:val="00A37EB1"/>
    <w:rsid w:val="00A443A1"/>
    <w:rsid w:val="00A50847"/>
    <w:rsid w:val="00A50AAB"/>
    <w:rsid w:val="00A53D77"/>
    <w:rsid w:val="00A710F7"/>
    <w:rsid w:val="00A731DC"/>
    <w:rsid w:val="00A77634"/>
    <w:rsid w:val="00A800CA"/>
    <w:rsid w:val="00A94AEC"/>
    <w:rsid w:val="00A96078"/>
    <w:rsid w:val="00A970B3"/>
    <w:rsid w:val="00AB0441"/>
    <w:rsid w:val="00AB212B"/>
    <w:rsid w:val="00AB6468"/>
    <w:rsid w:val="00AC2AE9"/>
    <w:rsid w:val="00AC45D3"/>
    <w:rsid w:val="00AD23D7"/>
    <w:rsid w:val="00B06778"/>
    <w:rsid w:val="00B07457"/>
    <w:rsid w:val="00B1221D"/>
    <w:rsid w:val="00B17494"/>
    <w:rsid w:val="00B21054"/>
    <w:rsid w:val="00B2287C"/>
    <w:rsid w:val="00B3293A"/>
    <w:rsid w:val="00B40452"/>
    <w:rsid w:val="00B42E5B"/>
    <w:rsid w:val="00B465BE"/>
    <w:rsid w:val="00B62367"/>
    <w:rsid w:val="00B65165"/>
    <w:rsid w:val="00B663AD"/>
    <w:rsid w:val="00B72679"/>
    <w:rsid w:val="00B80969"/>
    <w:rsid w:val="00BA00E7"/>
    <w:rsid w:val="00BA21BF"/>
    <w:rsid w:val="00BA31D5"/>
    <w:rsid w:val="00BA4A56"/>
    <w:rsid w:val="00BB1CE6"/>
    <w:rsid w:val="00BB33D0"/>
    <w:rsid w:val="00BB7006"/>
    <w:rsid w:val="00BD4483"/>
    <w:rsid w:val="00BD50E5"/>
    <w:rsid w:val="00BE129F"/>
    <w:rsid w:val="00BE39C2"/>
    <w:rsid w:val="00BE5DB3"/>
    <w:rsid w:val="00BF3590"/>
    <w:rsid w:val="00BF3994"/>
    <w:rsid w:val="00C03791"/>
    <w:rsid w:val="00C11CCD"/>
    <w:rsid w:val="00C25523"/>
    <w:rsid w:val="00C361F5"/>
    <w:rsid w:val="00C37692"/>
    <w:rsid w:val="00C55815"/>
    <w:rsid w:val="00C604F8"/>
    <w:rsid w:val="00C667C3"/>
    <w:rsid w:val="00C66E4E"/>
    <w:rsid w:val="00C73445"/>
    <w:rsid w:val="00C83569"/>
    <w:rsid w:val="00C84681"/>
    <w:rsid w:val="00C85ACA"/>
    <w:rsid w:val="00CA1134"/>
    <w:rsid w:val="00CB16D7"/>
    <w:rsid w:val="00CB3E9A"/>
    <w:rsid w:val="00CB71F8"/>
    <w:rsid w:val="00CD502D"/>
    <w:rsid w:val="00CE43A2"/>
    <w:rsid w:val="00CE4631"/>
    <w:rsid w:val="00CF1FBD"/>
    <w:rsid w:val="00CF2350"/>
    <w:rsid w:val="00CF5DE9"/>
    <w:rsid w:val="00D01E63"/>
    <w:rsid w:val="00D072A9"/>
    <w:rsid w:val="00D07C61"/>
    <w:rsid w:val="00D07FC9"/>
    <w:rsid w:val="00D11F55"/>
    <w:rsid w:val="00D12DD8"/>
    <w:rsid w:val="00D13447"/>
    <w:rsid w:val="00D16247"/>
    <w:rsid w:val="00D17802"/>
    <w:rsid w:val="00D21243"/>
    <w:rsid w:val="00D27C23"/>
    <w:rsid w:val="00D320D0"/>
    <w:rsid w:val="00D32482"/>
    <w:rsid w:val="00D41582"/>
    <w:rsid w:val="00D4335D"/>
    <w:rsid w:val="00D437E7"/>
    <w:rsid w:val="00D54D7E"/>
    <w:rsid w:val="00D56BF0"/>
    <w:rsid w:val="00D63748"/>
    <w:rsid w:val="00D72CB1"/>
    <w:rsid w:val="00D76762"/>
    <w:rsid w:val="00D81ED2"/>
    <w:rsid w:val="00D85D2B"/>
    <w:rsid w:val="00D929D5"/>
    <w:rsid w:val="00D93597"/>
    <w:rsid w:val="00DA0D5C"/>
    <w:rsid w:val="00DA1A4E"/>
    <w:rsid w:val="00DA5508"/>
    <w:rsid w:val="00DA6048"/>
    <w:rsid w:val="00DA7480"/>
    <w:rsid w:val="00DB5FF7"/>
    <w:rsid w:val="00DC2D7D"/>
    <w:rsid w:val="00DD46C5"/>
    <w:rsid w:val="00DD5184"/>
    <w:rsid w:val="00DD7059"/>
    <w:rsid w:val="00DE0840"/>
    <w:rsid w:val="00DE15B8"/>
    <w:rsid w:val="00DE22ED"/>
    <w:rsid w:val="00DE57E1"/>
    <w:rsid w:val="00DF361C"/>
    <w:rsid w:val="00DF3D2D"/>
    <w:rsid w:val="00DF4AD9"/>
    <w:rsid w:val="00DF4BB0"/>
    <w:rsid w:val="00DF4E4F"/>
    <w:rsid w:val="00E11448"/>
    <w:rsid w:val="00E135AD"/>
    <w:rsid w:val="00E145B5"/>
    <w:rsid w:val="00E32672"/>
    <w:rsid w:val="00E34412"/>
    <w:rsid w:val="00E362AD"/>
    <w:rsid w:val="00E36485"/>
    <w:rsid w:val="00E36BD1"/>
    <w:rsid w:val="00E70F0E"/>
    <w:rsid w:val="00E847B7"/>
    <w:rsid w:val="00E904B8"/>
    <w:rsid w:val="00E96D2D"/>
    <w:rsid w:val="00EA2E8E"/>
    <w:rsid w:val="00EB0668"/>
    <w:rsid w:val="00EB0F52"/>
    <w:rsid w:val="00EC27BA"/>
    <w:rsid w:val="00EC34CF"/>
    <w:rsid w:val="00EE6819"/>
    <w:rsid w:val="00EE69B0"/>
    <w:rsid w:val="00EE6E8D"/>
    <w:rsid w:val="00EF1E50"/>
    <w:rsid w:val="00F01364"/>
    <w:rsid w:val="00F02958"/>
    <w:rsid w:val="00F0454C"/>
    <w:rsid w:val="00F102D2"/>
    <w:rsid w:val="00F13B02"/>
    <w:rsid w:val="00F168B3"/>
    <w:rsid w:val="00F24C74"/>
    <w:rsid w:val="00F26808"/>
    <w:rsid w:val="00F3222B"/>
    <w:rsid w:val="00F36724"/>
    <w:rsid w:val="00F400CE"/>
    <w:rsid w:val="00F40834"/>
    <w:rsid w:val="00F43A37"/>
    <w:rsid w:val="00F46E01"/>
    <w:rsid w:val="00F509A4"/>
    <w:rsid w:val="00F52931"/>
    <w:rsid w:val="00F55A7A"/>
    <w:rsid w:val="00F562F4"/>
    <w:rsid w:val="00F61AA8"/>
    <w:rsid w:val="00F625D2"/>
    <w:rsid w:val="00F65EA0"/>
    <w:rsid w:val="00F717FF"/>
    <w:rsid w:val="00F7367D"/>
    <w:rsid w:val="00F74D93"/>
    <w:rsid w:val="00F77263"/>
    <w:rsid w:val="00F7731C"/>
    <w:rsid w:val="00F77C89"/>
    <w:rsid w:val="00F805B3"/>
    <w:rsid w:val="00F83A17"/>
    <w:rsid w:val="00F96C62"/>
    <w:rsid w:val="00FC4DBC"/>
    <w:rsid w:val="00FC67A7"/>
    <w:rsid w:val="00FD1294"/>
    <w:rsid w:val="00FD18EB"/>
    <w:rsid w:val="00FD6571"/>
    <w:rsid w:val="00FE04B8"/>
    <w:rsid w:val="00FE7B94"/>
    <w:rsid w:val="00FF1163"/>
    <w:rsid w:val="00FF2238"/>
    <w:rsid w:val="01B87BAA"/>
    <w:rsid w:val="01F21448"/>
    <w:rsid w:val="01F80802"/>
    <w:rsid w:val="02160524"/>
    <w:rsid w:val="02266269"/>
    <w:rsid w:val="023B0A34"/>
    <w:rsid w:val="028B1A42"/>
    <w:rsid w:val="029E055E"/>
    <w:rsid w:val="03BE1CA5"/>
    <w:rsid w:val="03EA43FF"/>
    <w:rsid w:val="03F1763A"/>
    <w:rsid w:val="04462465"/>
    <w:rsid w:val="0448715B"/>
    <w:rsid w:val="05206265"/>
    <w:rsid w:val="058F1702"/>
    <w:rsid w:val="05A20501"/>
    <w:rsid w:val="05AB30BD"/>
    <w:rsid w:val="060003B2"/>
    <w:rsid w:val="060318FF"/>
    <w:rsid w:val="061D4AE9"/>
    <w:rsid w:val="068A5032"/>
    <w:rsid w:val="07513962"/>
    <w:rsid w:val="07681384"/>
    <w:rsid w:val="077C72BF"/>
    <w:rsid w:val="080F498C"/>
    <w:rsid w:val="08181E21"/>
    <w:rsid w:val="08513A4A"/>
    <w:rsid w:val="0868493C"/>
    <w:rsid w:val="08A60005"/>
    <w:rsid w:val="08EB30F3"/>
    <w:rsid w:val="08F301FA"/>
    <w:rsid w:val="09984E4A"/>
    <w:rsid w:val="0A430D0D"/>
    <w:rsid w:val="0AC27048"/>
    <w:rsid w:val="0CD34CBA"/>
    <w:rsid w:val="0DF769DC"/>
    <w:rsid w:val="0EB5257D"/>
    <w:rsid w:val="0EBD2E3C"/>
    <w:rsid w:val="0F1F4D44"/>
    <w:rsid w:val="0F570151"/>
    <w:rsid w:val="0FBF41A9"/>
    <w:rsid w:val="10D17073"/>
    <w:rsid w:val="110A0409"/>
    <w:rsid w:val="11366ED6"/>
    <w:rsid w:val="115A7068"/>
    <w:rsid w:val="11603F53"/>
    <w:rsid w:val="117E08FE"/>
    <w:rsid w:val="118D3857"/>
    <w:rsid w:val="11DF131B"/>
    <w:rsid w:val="120314AE"/>
    <w:rsid w:val="12217B86"/>
    <w:rsid w:val="12422372"/>
    <w:rsid w:val="12950302"/>
    <w:rsid w:val="12A41101"/>
    <w:rsid w:val="134D03FB"/>
    <w:rsid w:val="1369246A"/>
    <w:rsid w:val="143F227E"/>
    <w:rsid w:val="14A557A7"/>
    <w:rsid w:val="154A6E5D"/>
    <w:rsid w:val="15840DEB"/>
    <w:rsid w:val="15991506"/>
    <w:rsid w:val="15A5462A"/>
    <w:rsid w:val="16375ECF"/>
    <w:rsid w:val="167A73B7"/>
    <w:rsid w:val="17D17A30"/>
    <w:rsid w:val="17DB2675"/>
    <w:rsid w:val="18055854"/>
    <w:rsid w:val="18393962"/>
    <w:rsid w:val="183A43E2"/>
    <w:rsid w:val="19466124"/>
    <w:rsid w:val="19C53739"/>
    <w:rsid w:val="19FD202C"/>
    <w:rsid w:val="1A3D07F9"/>
    <w:rsid w:val="1A664091"/>
    <w:rsid w:val="1B1F0A0C"/>
    <w:rsid w:val="1B3F2F88"/>
    <w:rsid w:val="1B9B51B5"/>
    <w:rsid w:val="1BC872C4"/>
    <w:rsid w:val="1BE24DA1"/>
    <w:rsid w:val="1BF91BD9"/>
    <w:rsid w:val="1C735A7A"/>
    <w:rsid w:val="1C863F01"/>
    <w:rsid w:val="1CCF273F"/>
    <w:rsid w:val="1D444728"/>
    <w:rsid w:val="1DCB6BF8"/>
    <w:rsid w:val="1E153149"/>
    <w:rsid w:val="1E7411ED"/>
    <w:rsid w:val="1EAA258A"/>
    <w:rsid w:val="1EEE2B9E"/>
    <w:rsid w:val="1EF8754F"/>
    <w:rsid w:val="1F2B38AE"/>
    <w:rsid w:val="20597D7B"/>
    <w:rsid w:val="20AA6980"/>
    <w:rsid w:val="20D364EF"/>
    <w:rsid w:val="22772B41"/>
    <w:rsid w:val="22B51DC5"/>
    <w:rsid w:val="23166DD6"/>
    <w:rsid w:val="234A6271"/>
    <w:rsid w:val="245A195E"/>
    <w:rsid w:val="24A478F0"/>
    <w:rsid w:val="24D81924"/>
    <w:rsid w:val="250F0CB5"/>
    <w:rsid w:val="253F76BC"/>
    <w:rsid w:val="256517BD"/>
    <w:rsid w:val="25883D24"/>
    <w:rsid w:val="265B39A3"/>
    <w:rsid w:val="26FA337A"/>
    <w:rsid w:val="27F65588"/>
    <w:rsid w:val="28B7337B"/>
    <w:rsid w:val="290D7B49"/>
    <w:rsid w:val="299A1E4A"/>
    <w:rsid w:val="2A1266CA"/>
    <w:rsid w:val="2B34426D"/>
    <w:rsid w:val="2B733B33"/>
    <w:rsid w:val="2BC272BF"/>
    <w:rsid w:val="2CE94FF1"/>
    <w:rsid w:val="2DC06E51"/>
    <w:rsid w:val="2E240862"/>
    <w:rsid w:val="2F0D7070"/>
    <w:rsid w:val="2F5C7FF7"/>
    <w:rsid w:val="2F686895"/>
    <w:rsid w:val="30023C4C"/>
    <w:rsid w:val="31184A7B"/>
    <w:rsid w:val="318F3650"/>
    <w:rsid w:val="31A34A05"/>
    <w:rsid w:val="323B2C2B"/>
    <w:rsid w:val="328F1215"/>
    <w:rsid w:val="32D3552A"/>
    <w:rsid w:val="32FA0DBD"/>
    <w:rsid w:val="337C26C0"/>
    <w:rsid w:val="347C4C38"/>
    <w:rsid w:val="34B03861"/>
    <w:rsid w:val="34DA3E98"/>
    <w:rsid w:val="34E93742"/>
    <w:rsid w:val="353C06AF"/>
    <w:rsid w:val="359E39DE"/>
    <w:rsid w:val="35E30B2B"/>
    <w:rsid w:val="368E55CE"/>
    <w:rsid w:val="37CF1C23"/>
    <w:rsid w:val="382E45C3"/>
    <w:rsid w:val="384004B6"/>
    <w:rsid w:val="39161217"/>
    <w:rsid w:val="39421B60"/>
    <w:rsid w:val="39661562"/>
    <w:rsid w:val="39697599"/>
    <w:rsid w:val="39AB5FD0"/>
    <w:rsid w:val="39B3425E"/>
    <w:rsid w:val="39D00BC7"/>
    <w:rsid w:val="39F74BA5"/>
    <w:rsid w:val="3AD805E9"/>
    <w:rsid w:val="3B3A06B5"/>
    <w:rsid w:val="3B502D6D"/>
    <w:rsid w:val="3B693880"/>
    <w:rsid w:val="3BAC7F61"/>
    <w:rsid w:val="3C990195"/>
    <w:rsid w:val="3C9C500C"/>
    <w:rsid w:val="3D7B789B"/>
    <w:rsid w:val="3E4A286A"/>
    <w:rsid w:val="3EDA2672"/>
    <w:rsid w:val="3EE939CC"/>
    <w:rsid w:val="3F36592A"/>
    <w:rsid w:val="40061FE5"/>
    <w:rsid w:val="40104C12"/>
    <w:rsid w:val="40310825"/>
    <w:rsid w:val="403F1053"/>
    <w:rsid w:val="40A216C1"/>
    <w:rsid w:val="40E97027"/>
    <w:rsid w:val="410E3720"/>
    <w:rsid w:val="41860BF1"/>
    <w:rsid w:val="421448EF"/>
    <w:rsid w:val="424A586D"/>
    <w:rsid w:val="428E62C2"/>
    <w:rsid w:val="4302047C"/>
    <w:rsid w:val="43FB3D18"/>
    <w:rsid w:val="446C50BE"/>
    <w:rsid w:val="44C17642"/>
    <w:rsid w:val="45726666"/>
    <w:rsid w:val="467808B1"/>
    <w:rsid w:val="477D30A1"/>
    <w:rsid w:val="477E3F96"/>
    <w:rsid w:val="47B21ABF"/>
    <w:rsid w:val="48711FC6"/>
    <w:rsid w:val="49085EF8"/>
    <w:rsid w:val="49234D8E"/>
    <w:rsid w:val="498015D8"/>
    <w:rsid w:val="4A212F68"/>
    <w:rsid w:val="4A2719F3"/>
    <w:rsid w:val="4A804742"/>
    <w:rsid w:val="4BB1594D"/>
    <w:rsid w:val="4BBA0128"/>
    <w:rsid w:val="4C1C66ED"/>
    <w:rsid w:val="4C566095"/>
    <w:rsid w:val="4C6765E0"/>
    <w:rsid w:val="4C711F79"/>
    <w:rsid w:val="4CDB21E4"/>
    <w:rsid w:val="4CF338F1"/>
    <w:rsid w:val="4EAA4484"/>
    <w:rsid w:val="4EB0546F"/>
    <w:rsid w:val="4EE47996"/>
    <w:rsid w:val="4F092914"/>
    <w:rsid w:val="4F1A03FF"/>
    <w:rsid w:val="4F8A06F7"/>
    <w:rsid w:val="4F974A08"/>
    <w:rsid w:val="4FAA24EE"/>
    <w:rsid w:val="4FE44606"/>
    <w:rsid w:val="51201AE2"/>
    <w:rsid w:val="512656C9"/>
    <w:rsid w:val="519D5AA4"/>
    <w:rsid w:val="51EB4B97"/>
    <w:rsid w:val="528C51B2"/>
    <w:rsid w:val="52A91126"/>
    <w:rsid w:val="52AD5CF4"/>
    <w:rsid w:val="52D27F49"/>
    <w:rsid w:val="52E90E24"/>
    <w:rsid w:val="53921FEA"/>
    <w:rsid w:val="53DC50DF"/>
    <w:rsid w:val="53E5789B"/>
    <w:rsid w:val="543F2D91"/>
    <w:rsid w:val="54CF6A6E"/>
    <w:rsid w:val="55081F04"/>
    <w:rsid w:val="552636CA"/>
    <w:rsid w:val="555D40E7"/>
    <w:rsid w:val="55EA4E1B"/>
    <w:rsid w:val="56D74F76"/>
    <w:rsid w:val="57014E5D"/>
    <w:rsid w:val="574134AB"/>
    <w:rsid w:val="586A6E42"/>
    <w:rsid w:val="58BA52C3"/>
    <w:rsid w:val="58E84E20"/>
    <w:rsid w:val="58F7505F"/>
    <w:rsid w:val="59387403"/>
    <w:rsid w:val="59965D30"/>
    <w:rsid w:val="59F842F5"/>
    <w:rsid w:val="5A4031EB"/>
    <w:rsid w:val="5A5359CF"/>
    <w:rsid w:val="5AF0321E"/>
    <w:rsid w:val="5B986416"/>
    <w:rsid w:val="5BB22BCA"/>
    <w:rsid w:val="5C633385"/>
    <w:rsid w:val="5C9047D1"/>
    <w:rsid w:val="5C923C84"/>
    <w:rsid w:val="5C9A4628"/>
    <w:rsid w:val="5CD143DA"/>
    <w:rsid w:val="5CFC74AA"/>
    <w:rsid w:val="5D4568A6"/>
    <w:rsid w:val="5D6E48CE"/>
    <w:rsid w:val="5DE06BA6"/>
    <w:rsid w:val="5E4E760C"/>
    <w:rsid w:val="5F4822CE"/>
    <w:rsid w:val="5FA67558"/>
    <w:rsid w:val="5FC609F2"/>
    <w:rsid w:val="5FEF2C2A"/>
    <w:rsid w:val="608C5797"/>
    <w:rsid w:val="60C170FF"/>
    <w:rsid w:val="610E7639"/>
    <w:rsid w:val="61971F36"/>
    <w:rsid w:val="619F19E1"/>
    <w:rsid w:val="61A704C5"/>
    <w:rsid w:val="61E33A16"/>
    <w:rsid w:val="61F21F72"/>
    <w:rsid w:val="621E1734"/>
    <w:rsid w:val="6264142C"/>
    <w:rsid w:val="629771C6"/>
    <w:rsid w:val="62D91FA2"/>
    <w:rsid w:val="638C7C76"/>
    <w:rsid w:val="6397364F"/>
    <w:rsid w:val="63A50E63"/>
    <w:rsid w:val="63FD374B"/>
    <w:rsid w:val="647508CB"/>
    <w:rsid w:val="65395B09"/>
    <w:rsid w:val="65B754C2"/>
    <w:rsid w:val="65D23F5A"/>
    <w:rsid w:val="65DE6EFD"/>
    <w:rsid w:val="660D737A"/>
    <w:rsid w:val="661A6B25"/>
    <w:rsid w:val="663114D3"/>
    <w:rsid w:val="663A7A43"/>
    <w:rsid w:val="67EB6611"/>
    <w:rsid w:val="68171337"/>
    <w:rsid w:val="68460800"/>
    <w:rsid w:val="68802308"/>
    <w:rsid w:val="689C4889"/>
    <w:rsid w:val="68D7021B"/>
    <w:rsid w:val="68E2759F"/>
    <w:rsid w:val="6A0F495F"/>
    <w:rsid w:val="6A106E90"/>
    <w:rsid w:val="6A842A0F"/>
    <w:rsid w:val="6AAF1A38"/>
    <w:rsid w:val="6B050949"/>
    <w:rsid w:val="6B0C74AF"/>
    <w:rsid w:val="6B0D5750"/>
    <w:rsid w:val="6B2216D2"/>
    <w:rsid w:val="6BF34A88"/>
    <w:rsid w:val="6C060461"/>
    <w:rsid w:val="6C1D408F"/>
    <w:rsid w:val="6C2179E8"/>
    <w:rsid w:val="6C3A656C"/>
    <w:rsid w:val="6CA16EA3"/>
    <w:rsid w:val="6D2A0BB6"/>
    <w:rsid w:val="6DB77A02"/>
    <w:rsid w:val="6E313E22"/>
    <w:rsid w:val="6E6949DC"/>
    <w:rsid w:val="6F4831D1"/>
    <w:rsid w:val="702F7EED"/>
    <w:rsid w:val="70385218"/>
    <w:rsid w:val="704279C3"/>
    <w:rsid w:val="708507D2"/>
    <w:rsid w:val="7162066C"/>
    <w:rsid w:val="71864485"/>
    <w:rsid w:val="718D136F"/>
    <w:rsid w:val="71BB0376"/>
    <w:rsid w:val="71BE3C1E"/>
    <w:rsid w:val="72374BF5"/>
    <w:rsid w:val="7243144C"/>
    <w:rsid w:val="72543AF4"/>
    <w:rsid w:val="72822E9E"/>
    <w:rsid w:val="72883C14"/>
    <w:rsid w:val="72AE6AA5"/>
    <w:rsid w:val="733343FE"/>
    <w:rsid w:val="733C707A"/>
    <w:rsid w:val="7391763B"/>
    <w:rsid w:val="740546A6"/>
    <w:rsid w:val="7423420D"/>
    <w:rsid w:val="74AB65E8"/>
    <w:rsid w:val="74EF066E"/>
    <w:rsid w:val="753F0BD2"/>
    <w:rsid w:val="75584024"/>
    <w:rsid w:val="75C36B50"/>
    <w:rsid w:val="76482148"/>
    <w:rsid w:val="766B04BE"/>
    <w:rsid w:val="766F3739"/>
    <w:rsid w:val="76933762"/>
    <w:rsid w:val="7730339E"/>
    <w:rsid w:val="777525FB"/>
    <w:rsid w:val="790073DA"/>
    <w:rsid w:val="795049DF"/>
    <w:rsid w:val="79984573"/>
    <w:rsid w:val="79A15B98"/>
    <w:rsid w:val="79C42906"/>
    <w:rsid w:val="79D23F4F"/>
    <w:rsid w:val="7A3507F6"/>
    <w:rsid w:val="7A975912"/>
    <w:rsid w:val="7AF53F82"/>
    <w:rsid w:val="7D360B0D"/>
    <w:rsid w:val="7D493B5B"/>
    <w:rsid w:val="7D5D44CB"/>
    <w:rsid w:val="7DBC2D12"/>
    <w:rsid w:val="7E174841"/>
    <w:rsid w:val="7ECA59B1"/>
    <w:rsid w:val="7F840255"/>
    <w:rsid w:val="7F863357"/>
    <w:rsid w:val="7FDB5F4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3"/>
    <w:qFormat/>
    <w:uiPriority w:val="0"/>
    <w:pPr>
      <w:jc w:val="left"/>
    </w:pPr>
  </w:style>
  <w:style w:type="paragraph" w:styleId="3">
    <w:name w:val="Balloon Text"/>
    <w:basedOn w:val="1"/>
    <w:link w:val="20"/>
    <w:qFormat/>
    <w:uiPriority w:val="0"/>
    <w:rPr>
      <w:sz w:val="18"/>
      <w:szCs w:val="18"/>
    </w:rPr>
  </w:style>
  <w:style w:type="paragraph" w:styleId="4">
    <w:name w:val="footer"/>
    <w:basedOn w:val="1"/>
    <w:link w:val="2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2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styleId="7">
    <w:name w:val="annotation subject"/>
    <w:basedOn w:val="2"/>
    <w:next w:val="2"/>
    <w:link w:val="28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1">
    <w:name w:val="Strong"/>
    <w:basedOn w:val="10"/>
    <w:qFormat/>
    <w:uiPriority w:val="22"/>
    <w:rPr>
      <w:b/>
    </w:rPr>
  </w:style>
  <w:style w:type="character" w:styleId="12">
    <w:name w:val="FollowedHyperlink"/>
    <w:basedOn w:val="10"/>
    <w:unhideWhenUsed/>
    <w:qFormat/>
    <w:uiPriority w:val="99"/>
    <w:rPr>
      <w:color w:val="954F72"/>
      <w:u w:val="single"/>
    </w:rPr>
  </w:style>
  <w:style w:type="character" w:styleId="13">
    <w:name w:val="Hyperlink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customStyle="1" w:styleId="15">
    <w:name w:val="列出段落1"/>
    <w:basedOn w:val="1"/>
    <w:qFormat/>
    <w:uiPriority w:val="0"/>
    <w:pPr>
      <w:ind w:firstLine="420" w:firstLineChars="200"/>
    </w:pPr>
  </w:style>
  <w:style w:type="paragraph" w:customStyle="1" w:styleId="16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paragraph" w:customStyle="1" w:styleId="18">
    <w:name w:val="批注主题1"/>
    <w:basedOn w:val="2"/>
    <w:next w:val="2"/>
    <w:link w:val="24"/>
    <w:qFormat/>
    <w:uiPriority w:val="0"/>
    <w:rPr>
      <w:b/>
      <w:bCs/>
    </w:rPr>
  </w:style>
  <w:style w:type="paragraph" w:customStyle="1" w:styleId="19">
    <w:name w:val="列出段落11"/>
    <w:basedOn w:val="1"/>
    <w:qFormat/>
    <w:uiPriority w:val="0"/>
    <w:pPr>
      <w:ind w:firstLine="420" w:firstLineChars="200"/>
    </w:pPr>
  </w:style>
  <w:style w:type="character" w:customStyle="1" w:styleId="20">
    <w:name w:val="批注框文本 字符"/>
    <w:link w:val="3"/>
    <w:semiHidden/>
    <w:qFormat/>
    <w:uiPriority w:val="0"/>
    <w:rPr>
      <w:kern w:val="2"/>
      <w:sz w:val="18"/>
      <w:szCs w:val="18"/>
    </w:rPr>
  </w:style>
  <w:style w:type="character" w:customStyle="1" w:styleId="21">
    <w:name w:val="页眉 字符"/>
    <w:link w:val="5"/>
    <w:qFormat/>
    <w:uiPriority w:val="0"/>
    <w:rPr>
      <w:kern w:val="2"/>
      <w:sz w:val="18"/>
      <w:szCs w:val="18"/>
    </w:rPr>
  </w:style>
  <w:style w:type="character" w:customStyle="1" w:styleId="22">
    <w:name w:val="页脚 字符"/>
    <w:link w:val="4"/>
    <w:qFormat/>
    <w:uiPriority w:val="0"/>
    <w:rPr>
      <w:kern w:val="2"/>
      <w:sz w:val="18"/>
      <w:szCs w:val="18"/>
    </w:rPr>
  </w:style>
  <w:style w:type="character" w:customStyle="1" w:styleId="23">
    <w:name w:val="批注文字 字符"/>
    <w:link w:val="2"/>
    <w:semiHidden/>
    <w:qFormat/>
    <w:uiPriority w:val="0"/>
    <w:rPr>
      <w:kern w:val="2"/>
      <w:sz w:val="21"/>
      <w:szCs w:val="22"/>
    </w:rPr>
  </w:style>
  <w:style w:type="character" w:customStyle="1" w:styleId="24">
    <w:name w:val="批注主题 字符"/>
    <w:link w:val="18"/>
    <w:semiHidden/>
    <w:qFormat/>
    <w:uiPriority w:val="0"/>
    <w:rPr>
      <w:b/>
      <w:bCs/>
      <w:kern w:val="2"/>
      <w:sz w:val="21"/>
      <w:szCs w:val="22"/>
    </w:rPr>
  </w:style>
  <w:style w:type="character" w:customStyle="1" w:styleId="25">
    <w:name w:val="批注主题 Char1"/>
    <w:qFormat/>
    <w:uiPriority w:val="0"/>
    <w:rPr>
      <w:b/>
      <w:bCs/>
      <w:kern w:val="2"/>
      <w:sz w:val="21"/>
      <w:szCs w:val="22"/>
    </w:rPr>
  </w:style>
  <w:style w:type="character" w:customStyle="1" w:styleId="26">
    <w:name w:val="批注引用1"/>
    <w:qFormat/>
    <w:uiPriority w:val="0"/>
    <w:rPr>
      <w:sz w:val="21"/>
      <w:szCs w:val="21"/>
    </w:rPr>
  </w:style>
  <w:style w:type="paragraph" w:customStyle="1" w:styleId="27">
    <w:name w:val="修订1"/>
    <w:hidden/>
    <w:semiHidden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28">
    <w:name w:val="批注主题 字符1"/>
    <w:basedOn w:val="23"/>
    <w:link w:val="7"/>
    <w:semiHidden/>
    <w:qFormat/>
    <w:uiPriority w:val="99"/>
    <w:rPr>
      <w:rFonts w:cs="Times New Roman"/>
      <w:b/>
      <w:bCs/>
      <w:kern w:val="2"/>
      <w:sz w:val="21"/>
      <w:szCs w:val="22"/>
    </w:rPr>
  </w:style>
  <w:style w:type="character" w:customStyle="1" w:styleId="29">
    <w:name w:val="未处理的提及1"/>
    <w:basedOn w:val="10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修订2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1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</w:rPr>
  </w:style>
  <w:style w:type="paragraph" w:customStyle="1" w:styleId="32">
    <w:name w:val="列表段落1"/>
    <w:basedOn w:val="1"/>
    <w:qFormat/>
    <w:uiPriority w:val="0"/>
    <w:pPr>
      <w:ind w:firstLine="200" w:firstLineChars="200"/>
    </w:pPr>
  </w:style>
  <w:style w:type="character" w:customStyle="1" w:styleId="33">
    <w:name w:val="font3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34">
    <w:name w:val="font4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35">
    <w:name w:val="msonormal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36">
    <w:name w:val="font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Calibri"/>
      <w:kern w:val="0"/>
      <w:sz w:val="22"/>
    </w:rPr>
  </w:style>
  <w:style w:type="paragraph" w:customStyle="1" w:styleId="37">
    <w:name w:val="font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2"/>
    </w:rPr>
  </w:style>
  <w:style w:type="paragraph" w:customStyle="1" w:styleId="38">
    <w:name w:val="font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2"/>
    </w:rPr>
  </w:style>
  <w:style w:type="paragraph" w:customStyle="1" w:styleId="39">
    <w:name w:val="font8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2"/>
    </w:rPr>
  </w:style>
  <w:style w:type="paragraph" w:customStyle="1" w:styleId="40">
    <w:name w:val="xl65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41">
    <w:name w:val="xl66"/>
    <w:basedOn w:val="1"/>
    <w:qFormat/>
    <w:uiPriority w:val="0"/>
    <w:pPr>
      <w:widowControl/>
      <w:shd w:val="clear" w:color="000000" w:fill="00B0F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42">
    <w:name w:val="xl6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43">
    <w:name w:val="xl6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4">
    <w:name w:val="xl6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45">
    <w:name w:val="xl7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6">
    <w:name w:val="xl7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47">
    <w:name w:val="xl7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48">
    <w:name w:val="xl7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49">
    <w:name w:val="xl7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0">
    <w:name w:val="xl75"/>
    <w:basedOn w:val="1"/>
    <w:qFormat/>
    <w:uiPriority w:val="0"/>
    <w:pPr>
      <w:widowControl/>
      <w:shd w:val="clear" w:color="000000" w:fill="FFC00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51">
    <w:name w:val="xl76"/>
    <w:basedOn w:val="1"/>
    <w:qFormat/>
    <w:uiPriority w:val="0"/>
    <w:pPr>
      <w:widowControl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52">
    <w:name w:val="xl77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3">
    <w:name w:val="xl7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54">
    <w:name w:val="xl7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5">
    <w:name w:val="xl8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56">
    <w:name w:val="xl8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57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8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59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0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1">
    <w:name w:val="xl8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C00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2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3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92D05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4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18"/>
      <w:szCs w:val="18"/>
    </w:rPr>
  </w:style>
  <w:style w:type="paragraph" w:customStyle="1" w:styleId="65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66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00B0F0"/>
      <w:spacing w:before="100" w:beforeAutospacing="1" w:after="100" w:afterAutospacing="1"/>
      <w:jc w:val="left"/>
    </w:pPr>
    <w:rPr>
      <w:rFonts w:cs="Calibri"/>
      <w:kern w:val="0"/>
      <w:sz w:val="24"/>
      <w:szCs w:val="24"/>
    </w:rPr>
  </w:style>
  <w:style w:type="paragraph" w:customStyle="1" w:styleId="67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0000"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68">
    <w:name w:val="xl9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69">
    <w:name w:val="修订3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0">
    <w:name w:val="修订4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1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2987</Words>
  <Characters>3447</Characters>
  <Lines>819</Lines>
  <Paragraphs>230</Paragraphs>
  <TotalTime>9</TotalTime>
  <ScaleCrop>false</ScaleCrop>
  <LinksUpToDate>false</LinksUpToDate>
  <CharactersWithSpaces>3466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2023-09-11T08:18:00Z</dcterms:created>
  <dc:creator>songeye park</dc:creator>
  <cp:lastModifiedBy>珈蓝</cp:lastModifiedBy>
  <cp:lastPrinted>2018-09-07T00:30:00Z</cp:lastPrinted>
  <dcterms:modified xsi:type="dcterms:W3CDTF">2026-04-01T08:25:18Z</dcterms:modified>
  <dc:title>butterfly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DB3C6593DFF24B59A1CCCB6F1573BE16_13</vt:lpwstr>
  </property>
  <property fmtid="{D5CDD505-2E9C-101B-9397-08002B2CF9AE}" pid="4" name="KSOTemplateDocerSaveRecord">
    <vt:lpwstr>eyJoZGlkIjoiNmEwMmExZjM2ODUwNDIxNDExOGMzY2ZkZGU2Y2M2YWQiLCJ1c2VySWQiOiI0MzExMDcyMjYifQ==</vt:lpwstr>
  </property>
</Properties>
</file>