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BFFA9">
      <w:pPr>
        <w:rPr>
          <w:rFonts w:hint="eastAsia" w:ascii="楷体_GB2312" w:hAnsi="宋体" w:eastAsia="楷体_GB2312"/>
        </w:rPr>
      </w:pPr>
    </w:p>
    <w:tbl>
      <w:tblPr>
        <w:tblStyle w:val="10"/>
        <w:tblW w:w="8896" w:type="dxa"/>
        <w:tblInd w:w="0" w:type="dxa"/>
        <w:tblLayout w:type="fixed"/>
        <w:tblCellMar>
          <w:top w:w="0" w:type="dxa"/>
          <w:left w:w="108" w:type="dxa"/>
          <w:bottom w:w="0" w:type="dxa"/>
          <w:right w:w="108" w:type="dxa"/>
        </w:tblCellMar>
      </w:tblPr>
      <w:tblGrid>
        <w:gridCol w:w="4596"/>
        <w:gridCol w:w="4300"/>
      </w:tblGrid>
      <w:tr w14:paraId="0A5D3F1E">
        <w:tblPrEx>
          <w:tblCellMar>
            <w:top w:w="0" w:type="dxa"/>
            <w:left w:w="108" w:type="dxa"/>
            <w:bottom w:w="0" w:type="dxa"/>
            <w:right w:w="108" w:type="dxa"/>
          </w:tblCellMar>
        </w:tblPrEx>
        <w:trPr>
          <w:trHeight w:val="1418" w:hRule="atLeast"/>
        </w:trPr>
        <w:tc>
          <w:tcPr>
            <w:tcW w:w="4596" w:type="dxa"/>
            <w:vAlign w:val="center"/>
          </w:tcPr>
          <w:p w14:paraId="52CC6DFA">
            <w:pPr>
              <w:spacing w:line="400" w:lineRule="exact"/>
              <w:ind w:left="2" w:right="-254" w:rightChars="-121" w:firstLine="2"/>
              <w:rPr>
                <w:rFonts w:ascii="宋体" w:hAnsi="宋体" w:cs="宋体"/>
                <w:highlight w:val="none"/>
              </w:rPr>
            </w:pPr>
          </w:p>
        </w:tc>
        <w:tc>
          <w:tcPr>
            <w:tcW w:w="4300" w:type="dxa"/>
            <w:vAlign w:val="center"/>
          </w:tcPr>
          <w:p w14:paraId="42C8A454">
            <w:pPr>
              <w:spacing w:line="400" w:lineRule="exact"/>
              <w:rPr>
                <w:rFonts w:ascii="宋体" w:hAnsi="宋体" w:cs="宋体"/>
                <w:highlight w:val="none"/>
              </w:rPr>
            </w:pPr>
            <w:r>
              <w:rPr>
                <w:rFonts w:hint="eastAsia" w:ascii="宋体" w:hAnsi="宋体" w:cs="宋体"/>
                <w:b/>
                <w:bCs/>
                <w:highlight w:val="none"/>
              </w:rPr>
              <w:t>报告编号：</w:t>
            </w:r>
          </w:p>
        </w:tc>
      </w:tr>
    </w:tbl>
    <w:p w14:paraId="5A3465C7">
      <w:pPr>
        <w:spacing w:line="240" w:lineRule="auto"/>
        <w:jc w:val="center"/>
        <w:rPr>
          <w:rFonts w:ascii="宋体" w:hAnsi="宋体" w:cs="宋体"/>
          <w:sz w:val="72"/>
          <w:highlight w:val="none"/>
        </w:rPr>
      </w:pPr>
    </w:p>
    <w:p w14:paraId="2F4D06D9">
      <w:pPr>
        <w:spacing w:line="240" w:lineRule="auto"/>
        <w:jc w:val="center"/>
        <w:rPr>
          <w:rFonts w:ascii="宋体" w:hAnsi="宋体" w:cs="宋体"/>
          <w:b/>
          <w:bCs/>
          <w:color w:val="000000" w:themeColor="text1"/>
          <w:sz w:val="36"/>
          <w:highlight w:val="none"/>
          <w14:textFill>
            <w14:solidFill>
              <w14:schemeClr w14:val="tx1"/>
            </w14:solidFill>
          </w14:textFill>
        </w:rPr>
      </w:pPr>
      <w:r>
        <w:rPr>
          <w:rFonts w:hint="eastAsia" w:ascii="宋体" w:hAnsi="宋体" w:cs="宋体"/>
          <w:b/>
          <w:bCs/>
          <w:sz w:val="72"/>
          <w:highlight w:val="none"/>
        </w:rPr>
        <w:t>检  验  报  告</w:t>
      </w:r>
    </w:p>
    <w:p w14:paraId="6CAA75F7">
      <w:pPr>
        <w:spacing w:line="240" w:lineRule="auto"/>
        <w:jc w:val="center"/>
        <w:rPr>
          <w:rFonts w:ascii="宋体" w:hAnsi="宋体" w:cs="宋体"/>
          <w:sz w:val="36"/>
          <w:szCs w:val="22"/>
          <w:highlight w:val="none"/>
        </w:rPr>
      </w:pPr>
    </w:p>
    <w:p w14:paraId="1A6625E8">
      <w:pPr>
        <w:jc w:val="center"/>
        <w:rPr>
          <w:rFonts w:hint="eastAsia" w:cs="Times New Roman"/>
          <w:sz w:val="36"/>
          <w:szCs w:val="36"/>
          <w:lang w:val="en-US" w:eastAsia="zh-CN"/>
        </w:rPr>
      </w:pPr>
      <w:r>
        <w:rPr>
          <w:rFonts w:hint="eastAsia" w:cs="Times New Roman"/>
          <w:sz w:val="36"/>
          <w:szCs w:val="36"/>
          <w:lang w:val="en-US" w:eastAsia="zh-CN"/>
        </w:rPr>
        <w:t>危险货物运输车辆结构</w:t>
      </w:r>
    </w:p>
    <w:p w14:paraId="50415036">
      <w:pPr>
        <w:pStyle w:val="4"/>
        <w:rPr>
          <w:rFonts w:ascii="宋体" w:hAnsi="宋体" w:cs="宋体"/>
          <w:sz w:val="36"/>
          <w:szCs w:val="22"/>
          <w:highlight w:val="none"/>
        </w:rPr>
      </w:pPr>
    </w:p>
    <w:p w14:paraId="0AE4D05F">
      <w:pPr>
        <w:rPr>
          <w:highlight w:val="none"/>
        </w:rPr>
      </w:pPr>
    </w:p>
    <w:p w14:paraId="2A947D36">
      <w:pPr>
        <w:rPr>
          <w:highlight w:val="none"/>
        </w:rPr>
      </w:pPr>
    </w:p>
    <w:p w14:paraId="0B9B60A0">
      <w:pPr>
        <w:pStyle w:val="4"/>
        <w:rPr>
          <w:highlight w:val="none"/>
        </w:rPr>
      </w:pPr>
    </w:p>
    <w:p w14:paraId="745C8BC7">
      <w:pPr>
        <w:rPr>
          <w:rFonts w:ascii="宋体" w:hAnsi="宋体" w:cs="宋体"/>
          <w:sz w:val="36"/>
          <w:szCs w:val="22"/>
          <w:highlight w:val="none"/>
        </w:rPr>
      </w:pPr>
    </w:p>
    <w:p w14:paraId="2E472D3C">
      <w:pPr>
        <w:pStyle w:val="4"/>
        <w:rPr>
          <w:rFonts w:ascii="宋体" w:hAnsi="宋体" w:cs="宋体"/>
          <w:sz w:val="36"/>
          <w:szCs w:val="22"/>
          <w:highlight w:val="none"/>
        </w:rPr>
      </w:pPr>
    </w:p>
    <w:p w14:paraId="34B3D459">
      <w:pPr>
        <w:rPr>
          <w:highlight w:val="none"/>
        </w:rPr>
      </w:pPr>
    </w:p>
    <w:p w14:paraId="615F426C">
      <w:pPr>
        <w:spacing w:line="240" w:lineRule="auto"/>
        <w:jc w:val="center"/>
        <w:rPr>
          <w:rFonts w:ascii="宋体" w:hAnsi="宋体" w:cs="宋体"/>
          <w:sz w:val="36"/>
          <w:szCs w:val="22"/>
          <w:highlight w:val="none"/>
        </w:rPr>
      </w:pPr>
    </w:p>
    <w:tbl>
      <w:tblPr>
        <w:tblStyle w:val="10"/>
        <w:tblW w:w="0" w:type="auto"/>
        <w:jc w:val="center"/>
        <w:tblLayout w:type="fixed"/>
        <w:tblCellMar>
          <w:top w:w="0" w:type="dxa"/>
          <w:left w:w="108" w:type="dxa"/>
          <w:bottom w:w="0" w:type="dxa"/>
          <w:right w:w="108" w:type="dxa"/>
        </w:tblCellMar>
      </w:tblPr>
      <w:tblGrid>
        <w:gridCol w:w="1985"/>
        <w:gridCol w:w="4735"/>
      </w:tblGrid>
      <w:tr w14:paraId="0A61E290">
        <w:tblPrEx>
          <w:tblCellMar>
            <w:top w:w="0" w:type="dxa"/>
            <w:left w:w="108" w:type="dxa"/>
            <w:bottom w:w="0" w:type="dxa"/>
            <w:right w:w="108" w:type="dxa"/>
          </w:tblCellMar>
        </w:tblPrEx>
        <w:trPr>
          <w:trHeight w:val="576" w:hRule="atLeast"/>
          <w:jc w:val="center"/>
        </w:trPr>
        <w:tc>
          <w:tcPr>
            <w:tcW w:w="1985" w:type="dxa"/>
            <w:vAlign w:val="center"/>
          </w:tcPr>
          <w:p w14:paraId="40A88D77">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产品名称：</w:t>
            </w:r>
          </w:p>
        </w:tc>
        <w:tc>
          <w:tcPr>
            <w:tcW w:w="4735" w:type="dxa"/>
            <w:tcBorders>
              <w:bottom w:val="single" w:color="auto" w:sz="12" w:space="0"/>
            </w:tcBorders>
            <w:vAlign w:val="center"/>
          </w:tcPr>
          <w:p w14:paraId="71470124">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5DC71BEF">
        <w:tblPrEx>
          <w:tblCellMar>
            <w:top w:w="0" w:type="dxa"/>
            <w:left w:w="108" w:type="dxa"/>
            <w:bottom w:w="0" w:type="dxa"/>
            <w:right w:w="108" w:type="dxa"/>
          </w:tblCellMar>
        </w:tblPrEx>
        <w:trPr>
          <w:jc w:val="center"/>
        </w:trPr>
        <w:tc>
          <w:tcPr>
            <w:tcW w:w="1985" w:type="dxa"/>
            <w:vAlign w:val="center"/>
          </w:tcPr>
          <w:p w14:paraId="139CABB0">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产品型号：</w:t>
            </w:r>
          </w:p>
        </w:tc>
        <w:tc>
          <w:tcPr>
            <w:tcW w:w="4735" w:type="dxa"/>
            <w:tcBorders>
              <w:top w:val="single" w:color="auto" w:sz="12" w:space="0"/>
              <w:bottom w:val="single" w:color="auto" w:sz="12" w:space="0"/>
            </w:tcBorders>
            <w:vAlign w:val="center"/>
          </w:tcPr>
          <w:p w14:paraId="739603EC">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6AD52B83">
        <w:tblPrEx>
          <w:tblCellMar>
            <w:top w:w="0" w:type="dxa"/>
            <w:left w:w="108" w:type="dxa"/>
            <w:bottom w:w="0" w:type="dxa"/>
            <w:right w:w="108" w:type="dxa"/>
          </w:tblCellMar>
        </w:tblPrEx>
        <w:trPr>
          <w:jc w:val="center"/>
        </w:trPr>
        <w:tc>
          <w:tcPr>
            <w:tcW w:w="1985" w:type="dxa"/>
            <w:vAlign w:val="center"/>
          </w:tcPr>
          <w:p w14:paraId="51FE0971">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委托单位：</w:t>
            </w:r>
          </w:p>
        </w:tc>
        <w:tc>
          <w:tcPr>
            <w:tcW w:w="4735" w:type="dxa"/>
            <w:tcBorders>
              <w:top w:val="single" w:color="auto" w:sz="12" w:space="0"/>
              <w:bottom w:val="single" w:color="auto" w:sz="12" w:space="0"/>
            </w:tcBorders>
            <w:vAlign w:val="center"/>
          </w:tcPr>
          <w:p w14:paraId="73C385B7">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1951261F">
        <w:tblPrEx>
          <w:tblCellMar>
            <w:top w:w="0" w:type="dxa"/>
            <w:left w:w="108" w:type="dxa"/>
            <w:bottom w:w="0" w:type="dxa"/>
            <w:right w:w="108" w:type="dxa"/>
          </w:tblCellMar>
        </w:tblPrEx>
        <w:trPr>
          <w:jc w:val="center"/>
        </w:trPr>
        <w:tc>
          <w:tcPr>
            <w:tcW w:w="1985" w:type="dxa"/>
            <w:vAlign w:val="center"/>
          </w:tcPr>
          <w:p w14:paraId="5B66429B">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检验类别：</w:t>
            </w:r>
          </w:p>
        </w:tc>
        <w:tc>
          <w:tcPr>
            <w:tcW w:w="4735" w:type="dxa"/>
            <w:tcBorders>
              <w:top w:val="single" w:color="auto" w:sz="12" w:space="0"/>
              <w:bottom w:val="single" w:color="auto" w:sz="12" w:space="0"/>
            </w:tcBorders>
            <w:vAlign w:val="center"/>
          </w:tcPr>
          <w:p w14:paraId="3DF74BAE">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委托检验</w:t>
            </w:r>
          </w:p>
        </w:tc>
      </w:tr>
    </w:tbl>
    <w:p w14:paraId="498F623C">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p>
    <w:p w14:paraId="64129000">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r>
        <w:rPr>
          <w:rFonts w:hint="eastAsia" w:ascii="宋体" w:hAnsi="宋体" w:cs="宋体"/>
          <w:b/>
          <w:color w:val="000000" w:themeColor="text1"/>
          <w:sz w:val="44"/>
          <w:highlight w:val="none"/>
          <w14:textFill>
            <w14:solidFill>
              <w14:schemeClr w14:val="tx1"/>
            </w14:solidFill>
          </w14:textFill>
        </w:rPr>
        <w:t>检测机构名称</w:t>
      </w:r>
    </w:p>
    <w:p w14:paraId="407C08A1">
      <w:pPr>
        <w:jc w:val="center"/>
        <w:rPr>
          <w:rFonts w:ascii="宋体" w:hAnsi="宋体" w:cs="宋体"/>
          <w:color w:val="000000" w:themeColor="text1"/>
          <w:sz w:val="36"/>
          <w:highlight w:val="none"/>
          <w14:textFill>
            <w14:solidFill>
              <w14:schemeClr w14:val="tx1"/>
            </w14:solidFill>
          </w14:textFill>
        </w:rPr>
      </w:pPr>
    </w:p>
    <w:p w14:paraId="6BFE1D5C">
      <w:pPr>
        <w:jc w:val="center"/>
        <w:rPr>
          <w:rFonts w:ascii="宋体" w:hAnsi="宋体" w:cs="宋体"/>
          <w:color w:val="000000" w:themeColor="text1"/>
          <w:sz w:val="36"/>
          <w:highlight w:val="none"/>
          <w14:textFill>
            <w14:solidFill>
              <w14:schemeClr w14:val="tx1"/>
            </w14:solidFill>
          </w14:textFill>
        </w:rPr>
        <w:sectPr>
          <w:headerReference r:id="rId3" w:type="default"/>
          <w:pgSz w:w="11906" w:h="16838"/>
          <w:pgMar w:top="1440" w:right="1800" w:bottom="1440" w:left="1800" w:header="851" w:footer="992" w:gutter="0"/>
          <w:pgNumType w:start="1"/>
          <w:cols w:space="425" w:num="1"/>
          <w:docGrid w:type="lines" w:linePitch="312" w:charSpace="0"/>
        </w:sectPr>
      </w:pPr>
    </w:p>
    <w:p w14:paraId="03AE4E92">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44"/>
          <w:highlight w:val="none"/>
          <w14:textFill>
            <w14:solidFill>
              <w14:schemeClr w14:val="tx1"/>
            </w14:solidFill>
          </w14:textFill>
        </w:rPr>
        <w:t>注 意 事 项</w:t>
      </w:r>
    </w:p>
    <w:p w14:paraId="2E2B3C8D">
      <w:pPr>
        <w:rPr>
          <w:rFonts w:ascii="宋体" w:hAnsi="宋体" w:cs="宋体"/>
          <w:color w:val="000000" w:themeColor="text1"/>
          <w:highlight w:val="none"/>
          <w14:textFill>
            <w14:solidFill>
              <w14:schemeClr w14:val="tx1"/>
            </w14:solidFill>
          </w14:textFill>
        </w:rPr>
      </w:pPr>
    </w:p>
    <w:p w14:paraId="105CC155">
      <w:pPr>
        <w:snapToGrid w:val="0"/>
        <w:spacing w:line="360" w:lineRule="auto"/>
        <w:ind w:left="50"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1、本报告用于道路运输车辆达标车型技术审查。</w:t>
      </w:r>
    </w:p>
    <w:p w14:paraId="25054F24">
      <w:pPr>
        <w:snapToGrid w:val="0"/>
        <w:spacing w:line="360" w:lineRule="auto"/>
        <w:ind w:left="50"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2、本检验单位对出具的检验结果负责。</w:t>
      </w:r>
    </w:p>
    <w:p w14:paraId="7DCE057E">
      <w:pPr>
        <w:snapToGrid w:val="0"/>
        <w:spacing w:line="360" w:lineRule="auto"/>
        <w:ind w:left="592"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3、检验报告必须有检验单位、计量检定和实验室认可印章及检验单位骑缝章，否则无效。</w:t>
      </w:r>
    </w:p>
    <w:p w14:paraId="26DC13F8">
      <w:pPr>
        <w:snapToGrid w:val="0"/>
        <w:spacing w:line="360" w:lineRule="auto"/>
        <w:ind w:left="50"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4、检验报告无主检、审核、批准人签字无效。</w:t>
      </w:r>
    </w:p>
    <w:p w14:paraId="07D3B29F">
      <w:pPr>
        <w:snapToGrid w:val="0"/>
        <w:spacing w:line="360" w:lineRule="auto"/>
        <w:ind w:left="50"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5、检验报告涂改无效。</w:t>
      </w:r>
    </w:p>
    <w:p w14:paraId="46E89E55">
      <w:pPr>
        <w:snapToGrid w:val="0"/>
        <w:spacing w:line="360" w:lineRule="auto"/>
        <w:ind w:left="592"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6、检验报告部分复制无效，检验报告复制未加盖检验单位印章及骑缝章无效。</w:t>
      </w:r>
    </w:p>
    <w:p w14:paraId="7256CE94">
      <w:pPr>
        <w:snapToGrid w:val="0"/>
        <w:spacing w:line="360" w:lineRule="auto"/>
        <w:ind w:left="592"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7、对检验报告若有异议，应在收到检验报告之日起10日内向检验单位提出，逾期不予受理。</w:t>
      </w:r>
    </w:p>
    <w:p w14:paraId="00C349B4">
      <w:pPr>
        <w:spacing w:line="360" w:lineRule="auto"/>
        <w:ind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8、检验仅对样品负责。</w:t>
      </w:r>
    </w:p>
    <w:tbl>
      <w:tblPr>
        <w:tblStyle w:val="10"/>
        <w:tblW w:w="0" w:type="auto"/>
        <w:tblInd w:w="0" w:type="dxa"/>
        <w:tblLayout w:type="autofit"/>
        <w:tblCellMar>
          <w:top w:w="0" w:type="dxa"/>
          <w:left w:w="108" w:type="dxa"/>
          <w:bottom w:w="0" w:type="dxa"/>
          <w:right w:w="108" w:type="dxa"/>
        </w:tblCellMar>
      </w:tblPr>
      <w:tblGrid>
        <w:gridCol w:w="8522"/>
      </w:tblGrid>
      <w:tr w14:paraId="2C1414EF">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0E0D11C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检验单位：</w:t>
            </w:r>
          </w:p>
          <w:p w14:paraId="56348595">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26A7AD38">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00D85813">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22804686">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r w14:paraId="41E36AFF">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5B257FD9">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委托单位：</w:t>
            </w:r>
          </w:p>
          <w:p w14:paraId="20A5691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7400E63A">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055CC4ED">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02E4FFE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bl>
    <w:p w14:paraId="367E631E">
      <w:pPr>
        <w:spacing w:line="500" w:lineRule="exact"/>
        <w:rPr>
          <w:rFonts w:ascii="宋体" w:hAnsi="宋体" w:cs="宋体"/>
          <w:color w:val="000000" w:themeColor="text1"/>
          <w:sz w:val="28"/>
          <w:szCs w:val="28"/>
          <w:highlight w:val="none"/>
          <w14:textFill>
            <w14:solidFill>
              <w14:schemeClr w14:val="tx1"/>
            </w14:solidFill>
          </w14:textFill>
        </w:rPr>
        <w:sectPr>
          <w:headerReference r:id="rId4" w:type="default"/>
          <w:pgSz w:w="11906" w:h="16838"/>
          <w:pgMar w:top="1440" w:right="1800" w:bottom="1440" w:left="1800" w:header="851" w:footer="992" w:gutter="0"/>
          <w:pgNumType w:start="1"/>
          <w:cols w:space="425" w:num="1"/>
          <w:docGrid w:type="lines" w:linePitch="312" w:charSpace="0"/>
        </w:sectPr>
      </w:pPr>
    </w:p>
    <w:p w14:paraId="54934000">
      <w:pPr>
        <w:rPr>
          <w:rFonts w:hint="eastAsia" w:ascii="宋体" w:hAnsi="宋体"/>
          <w:sz w:val="22"/>
          <w:szCs w:val="22"/>
        </w:rPr>
      </w:pPr>
    </w:p>
    <w:tbl>
      <w:tblPr>
        <w:tblStyle w:val="10"/>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56"/>
        <w:gridCol w:w="2810"/>
        <w:gridCol w:w="1363"/>
        <w:gridCol w:w="3256"/>
      </w:tblGrid>
      <w:tr w14:paraId="0E47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atLeast"/>
          <w:jc w:val="center"/>
        </w:trPr>
        <w:tc>
          <w:tcPr>
            <w:tcW w:w="1456" w:type="dxa"/>
            <w:tcBorders>
              <w:top w:val="single" w:color="auto" w:sz="2" w:space="0"/>
              <w:left w:val="single" w:color="auto" w:sz="2" w:space="0"/>
            </w:tcBorders>
            <w:vAlign w:val="center"/>
          </w:tcPr>
          <w:p w14:paraId="75362FA1">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样品名称</w:t>
            </w:r>
          </w:p>
        </w:tc>
        <w:tc>
          <w:tcPr>
            <w:tcW w:w="2810" w:type="dxa"/>
            <w:tcBorders>
              <w:top w:val="single" w:color="auto" w:sz="2" w:space="0"/>
            </w:tcBorders>
            <w:vAlign w:val="center"/>
          </w:tcPr>
          <w:p w14:paraId="43F892F8">
            <w:pPr>
              <w:spacing w:line="240" w:lineRule="atLeast"/>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xxxx</w:t>
            </w:r>
          </w:p>
        </w:tc>
        <w:tc>
          <w:tcPr>
            <w:tcW w:w="1363" w:type="dxa"/>
            <w:tcBorders>
              <w:top w:val="single" w:color="auto" w:sz="2" w:space="0"/>
            </w:tcBorders>
            <w:vAlign w:val="center"/>
          </w:tcPr>
          <w:p w14:paraId="6930B3A2">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商  标</w:t>
            </w:r>
          </w:p>
        </w:tc>
        <w:tc>
          <w:tcPr>
            <w:tcW w:w="3256" w:type="dxa"/>
            <w:tcBorders>
              <w:top w:val="single" w:color="auto" w:sz="2" w:space="0"/>
              <w:right w:val="single" w:color="auto" w:sz="2" w:space="0"/>
            </w:tcBorders>
            <w:vAlign w:val="center"/>
          </w:tcPr>
          <w:p w14:paraId="4E0C8A4E">
            <w:pPr>
              <w:spacing w:line="240" w:lineRule="atLeast"/>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xxxx</w:t>
            </w:r>
          </w:p>
        </w:tc>
      </w:tr>
      <w:tr w14:paraId="36C7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1" w:hRule="atLeast"/>
          <w:jc w:val="center"/>
        </w:trPr>
        <w:tc>
          <w:tcPr>
            <w:tcW w:w="1456" w:type="dxa"/>
            <w:tcBorders>
              <w:left w:val="single" w:color="auto" w:sz="2" w:space="0"/>
            </w:tcBorders>
            <w:vAlign w:val="center"/>
          </w:tcPr>
          <w:p w14:paraId="1A3E2BFC">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型号规格</w:t>
            </w:r>
          </w:p>
        </w:tc>
        <w:tc>
          <w:tcPr>
            <w:tcW w:w="2810" w:type="dxa"/>
            <w:vAlign w:val="center"/>
          </w:tcPr>
          <w:p w14:paraId="30A7968F">
            <w:pPr>
              <w:spacing w:line="240" w:lineRule="atLeast"/>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xxxx</w:t>
            </w:r>
          </w:p>
        </w:tc>
        <w:tc>
          <w:tcPr>
            <w:tcW w:w="1363" w:type="dxa"/>
            <w:vAlign w:val="center"/>
          </w:tcPr>
          <w:p w14:paraId="2F2EDCE6">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生产单位</w:t>
            </w:r>
          </w:p>
        </w:tc>
        <w:tc>
          <w:tcPr>
            <w:tcW w:w="3256" w:type="dxa"/>
            <w:tcBorders>
              <w:right w:val="single" w:color="auto" w:sz="2" w:space="0"/>
            </w:tcBorders>
            <w:vAlign w:val="center"/>
          </w:tcPr>
          <w:p w14:paraId="5EA09974">
            <w:pPr>
              <w:spacing w:line="240" w:lineRule="atLeast"/>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SA"/>
              </w:rPr>
              <w:t>xxxx</w:t>
            </w:r>
          </w:p>
        </w:tc>
      </w:tr>
      <w:tr w14:paraId="202A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0" w:hRule="atLeast"/>
          <w:jc w:val="center"/>
        </w:trPr>
        <w:tc>
          <w:tcPr>
            <w:tcW w:w="1456" w:type="dxa"/>
            <w:tcBorders>
              <w:left w:val="single" w:color="auto" w:sz="2" w:space="0"/>
            </w:tcBorders>
            <w:vAlign w:val="center"/>
          </w:tcPr>
          <w:p w14:paraId="5A77BDDF">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委托单位</w:t>
            </w:r>
          </w:p>
        </w:tc>
        <w:tc>
          <w:tcPr>
            <w:tcW w:w="2810" w:type="dxa"/>
            <w:vAlign w:val="center"/>
          </w:tcPr>
          <w:p w14:paraId="1A4E7169">
            <w:pPr>
              <w:spacing w:line="240" w:lineRule="atLeast"/>
              <w:jc w:val="center"/>
              <w:rPr>
                <w:rFonts w:hint="eastAsia" w:ascii="宋体" w:hAnsi="宋体" w:eastAsia="宋体" w:cs="宋体"/>
                <w:sz w:val="24"/>
                <w:szCs w:val="24"/>
              </w:rPr>
            </w:pPr>
            <w:r>
              <w:rPr>
                <w:rFonts w:hint="eastAsia" w:ascii="宋体" w:hAnsi="宋体" w:eastAsia="宋体" w:cs="宋体"/>
                <w:sz w:val="24"/>
                <w:szCs w:val="24"/>
                <w:lang w:val="en-US" w:eastAsia="zh-CN"/>
              </w:rPr>
              <w:t>xxxx</w:t>
            </w:r>
          </w:p>
        </w:tc>
        <w:tc>
          <w:tcPr>
            <w:tcW w:w="1363" w:type="dxa"/>
            <w:shd w:val="clear" w:color="auto" w:fill="auto"/>
            <w:vAlign w:val="center"/>
          </w:tcPr>
          <w:p w14:paraId="7FE67700">
            <w:pPr>
              <w:spacing w:line="240" w:lineRule="atLeast"/>
              <w:ind w:left="57" w:leftChars="0" w:right="57" w:rightChars="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生产日期</w:t>
            </w:r>
          </w:p>
        </w:tc>
        <w:tc>
          <w:tcPr>
            <w:tcW w:w="3256" w:type="dxa"/>
            <w:tcBorders>
              <w:right w:val="single" w:color="auto" w:sz="2" w:space="0"/>
            </w:tcBorders>
            <w:shd w:val="clear" w:color="auto" w:fill="auto"/>
            <w:vAlign w:val="center"/>
          </w:tcPr>
          <w:p w14:paraId="1149DDC3">
            <w:pPr>
              <w:spacing w:line="240" w:lineRule="atLeas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xxxx</w:t>
            </w:r>
          </w:p>
        </w:tc>
      </w:tr>
      <w:tr w14:paraId="0104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jc w:val="center"/>
        </w:trPr>
        <w:tc>
          <w:tcPr>
            <w:tcW w:w="1456" w:type="dxa"/>
            <w:tcBorders>
              <w:left w:val="single" w:color="auto" w:sz="2" w:space="0"/>
            </w:tcBorders>
            <w:vAlign w:val="center"/>
          </w:tcPr>
          <w:p w14:paraId="7D3762AE">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样品数量</w:t>
            </w:r>
          </w:p>
        </w:tc>
        <w:tc>
          <w:tcPr>
            <w:tcW w:w="2810" w:type="dxa"/>
            <w:vAlign w:val="center"/>
          </w:tcPr>
          <w:p w14:paraId="6D64C2FE">
            <w:pPr>
              <w:spacing w:line="240" w:lineRule="atLeast"/>
              <w:ind w:left="57" w:leftChars="0" w:right="57" w:righ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w:t>
            </w:r>
          </w:p>
        </w:tc>
        <w:tc>
          <w:tcPr>
            <w:tcW w:w="1363" w:type="dxa"/>
            <w:vAlign w:val="center"/>
          </w:tcPr>
          <w:p w14:paraId="222FED59">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检验类别</w:t>
            </w:r>
          </w:p>
        </w:tc>
        <w:tc>
          <w:tcPr>
            <w:tcW w:w="3256" w:type="dxa"/>
            <w:tcBorders>
              <w:right w:val="single" w:color="auto" w:sz="2" w:space="0"/>
            </w:tcBorders>
            <w:vAlign w:val="center"/>
          </w:tcPr>
          <w:p w14:paraId="47A58A7F">
            <w:pPr>
              <w:spacing w:line="240" w:lineRule="atLeast"/>
              <w:jc w:val="center"/>
              <w:rPr>
                <w:rFonts w:hint="eastAsia" w:ascii="宋体" w:hAnsi="宋体" w:eastAsia="宋体" w:cs="宋体"/>
                <w:sz w:val="24"/>
                <w:szCs w:val="24"/>
              </w:rPr>
            </w:pPr>
            <w:r>
              <w:rPr>
                <w:rFonts w:hint="eastAsia" w:ascii="宋体" w:hAnsi="宋体" w:eastAsia="宋体" w:cs="宋体"/>
                <w:sz w:val="24"/>
                <w:szCs w:val="24"/>
                <w:lang w:val="en-US" w:eastAsia="zh-CN"/>
              </w:rPr>
              <w:t>xxxx</w:t>
            </w:r>
          </w:p>
        </w:tc>
      </w:tr>
      <w:tr w14:paraId="7DCC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1456" w:type="dxa"/>
            <w:tcBorders>
              <w:left w:val="single" w:color="auto" w:sz="2" w:space="0"/>
              <w:bottom w:val="nil"/>
            </w:tcBorders>
            <w:vAlign w:val="center"/>
          </w:tcPr>
          <w:p w14:paraId="07F83D0A">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送样者</w:t>
            </w:r>
          </w:p>
        </w:tc>
        <w:tc>
          <w:tcPr>
            <w:tcW w:w="2810" w:type="dxa"/>
            <w:tcBorders>
              <w:bottom w:val="nil"/>
            </w:tcBorders>
            <w:vAlign w:val="center"/>
          </w:tcPr>
          <w:p w14:paraId="392AB052">
            <w:pPr>
              <w:spacing w:line="240" w:lineRule="atLeast"/>
              <w:ind w:left="57" w:leftChars="0" w:right="57" w:righ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w:t>
            </w:r>
          </w:p>
        </w:tc>
        <w:tc>
          <w:tcPr>
            <w:tcW w:w="1363" w:type="dxa"/>
            <w:tcBorders>
              <w:bottom w:val="nil"/>
            </w:tcBorders>
            <w:vAlign w:val="center"/>
          </w:tcPr>
          <w:p w14:paraId="3501E0BC">
            <w:pPr>
              <w:spacing w:line="240" w:lineRule="atLeast"/>
              <w:ind w:left="57" w:leftChars="0" w:right="57" w:rightChars="0"/>
              <w:jc w:val="center"/>
              <w:rPr>
                <w:rFonts w:hint="eastAsia" w:ascii="宋体" w:hAnsi="宋体" w:eastAsia="宋体" w:cs="宋体"/>
                <w:sz w:val="24"/>
                <w:szCs w:val="24"/>
              </w:rPr>
            </w:pPr>
            <w:r>
              <w:rPr>
                <w:rFonts w:hint="eastAsia" w:ascii="宋体" w:hAnsi="宋体" w:eastAsia="宋体" w:cs="宋体"/>
                <w:sz w:val="24"/>
                <w:szCs w:val="24"/>
              </w:rPr>
              <w:t>送样日期</w:t>
            </w:r>
          </w:p>
        </w:tc>
        <w:tc>
          <w:tcPr>
            <w:tcW w:w="3256" w:type="dxa"/>
            <w:tcBorders>
              <w:bottom w:val="nil"/>
              <w:right w:val="single" w:color="auto" w:sz="2" w:space="0"/>
            </w:tcBorders>
            <w:vAlign w:val="center"/>
          </w:tcPr>
          <w:p w14:paraId="0E6C4E37">
            <w:pPr>
              <w:spacing w:line="240" w:lineRule="atLeast"/>
              <w:ind w:left="57" w:leftChars="0" w:right="57" w:right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w:t>
            </w:r>
          </w:p>
        </w:tc>
      </w:tr>
      <w:tr w14:paraId="3A82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9" w:hRule="atLeast"/>
          <w:jc w:val="center"/>
        </w:trPr>
        <w:tc>
          <w:tcPr>
            <w:tcW w:w="1456" w:type="dxa"/>
            <w:tcBorders>
              <w:left w:val="single" w:color="auto" w:sz="2" w:space="0"/>
              <w:bottom w:val="nil"/>
            </w:tcBorders>
            <w:vAlign w:val="center"/>
          </w:tcPr>
          <w:p w14:paraId="337E566A">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rPr>
              <w:t>检验依据</w:t>
            </w:r>
          </w:p>
        </w:tc>
        <w:tc>
          <w:tcPr>
            <w:tcW w:w="2810" w:type="dxa"/>
            <w:tcBorders>
              <w:bottom w:val="nil"/>
            </w:tcBorders>
            <w:vAlign w:val="center"/>
          </w:tcPr>
          <w:p w14:paraId="45CBD68C">
            <w:pPr>
              <w:spacing w:line="500" w:lineRule="exact"/>
              <w:ind w:left="218" w:leftChars="104" w:right="57" w:firstLine="0" w:firstLineChars="0"/>
              <w:rPr>
                <w:rFonts w:hint="default" w:ascii="宋体" w:hAnsi="宋体" w:eastAsia="宋体" w:cs="宋体"/>
                <w:sz w:val="24"/>
                <w:szCs w:val="24"/>
                <w:lang w:val="en-US"/>
              </w:rPr>
            </w:pPr>
            <w:r>
              <w:rPr>
                <w:rFonts w:hint="eastAsia" w:ascii="宋体" w:hAnsi="宋体" w:eastAsia="宋体" w:cs="宋体"/>
                <w:sz w:val="24"/>
                <w:szCs w:val="24"/>
              </w:rPr>
              <w:t xml:space="preserve">GB </w:t>
            </w:r>
            <w:r>
              <w:rPr>
                <w:rFonts w:hint="eastAsia" w:ascii="宋体" w:hAnsi="宋体" w:eastAsia="宋体" w:cs="宋体"/>
                <w:sz w:val="24"/>
                <w:szCs w:val="24"/>
                <w:lang w:val="en-US" w:eastAsia="zh-CN"/>
              </w:rPr>
              <w:t>21668-2025</w:t>
            </w:r>
            <w:r>
              <w:rPr>
                <w:rFonts w:hint="eastAsia" w:ascii="宋体" w:hAnsi="宋体" w:eastAsia="宋体" w:cs="宋体"/>
                <w:sz w:val="24"/>
                <w:szCs w:val="24"/>
              </w:rPr>
              <w:t>《</w:t>
            </w:r>
            <w:r>
              <w:rPr>
                <w:rFonts w:hint="eastAsia" w:ascii="宋体" w:hAnsi="宋体" w:eastAsia="宋体" w:cs="宋体"/>
                <w:sz w:val="24"/>
                <w:szCs w:val="24"/>
                <w:lang w:val="en-US" w:eastAsia="zh-CN"/>
              </w:rPr>
              <w:t>危险货物运输车辆安全技术条件</w:t>
            </w:r>
            <w:r>
              <w:rPr>
                <w:rFonts w:hint="eastAsia" w:ascii="宋体" w:hAnsi="宋体" w:eastAsia="宋体" w:cs="宋体"/>
                <w:sz w:val="24"/>
                <w:szCs w:val="24"/>
              </w:rPr>
              <w:t>》</w:t>
            </w:r>
          </w:p>
        </w:tc>
        <w:tc>
          <w:tcPr>
            <w:tcW w:w="1363" w:type="dxa"/>
            <w:tcBorders>
              <w:bottom w:val="nil"/>
            </w:tcBorders>
            <w:vAlign w:val="center"/>
          </w:tcPr>
          <w:p w14:paraId="657EBE89">
            <w:pPr>
              <w:spacing w:line="240" w:lineRule="atLeast"/>
              <w:ind w:left="57" w:right="57"/>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检验项目</w:t>
            </w:r>
          </w:p>
        </w:tc>
        <w:tc>
          <w:tcPr>
            <w:tcW w:w="3256" w:type="dxa"/>
            <w:tcBorders>
              <w:bottom w:val="nil"/>
              <w:right w:val="single" w:color="auto" w:sz="2" w:space="0"/>
            </w:tcBorders>
            <w:vAlign w:val="center"/>
          </w:tcPr>
          <w:p w14:paraId="0B960F1A">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lang w:val="en-US" w:eastAsia="zh-CN"/>
              </w:rPr>
              <w:t>危险货物运输车辆安全</w:t>
            </w:r>
            <w:r>
              <w:rPr>
                <w:rFonts w:hint="eastAsia" w:ascii="宋体" w:hAnsi="宋体" w:eastAsia="宋体" w:cs="宋体"/>
                <w:sz w:val="24"/>
                <w:szCs w:val="24"/>
              </w:rPr>
              <w:t>要求</w:t>
            </w:r>
          </w:p>
          <w:p w14:paraId="3F353AD3">
            <w:pPr>
              <w:spacing w:line="240" w:lineRule="atLeast"/>
              <w:ind w:right="57"/>
              <w:jc w:val="both"/>
              <w:rPr>
                <w:rFonts w:hint="eastAsia" w:ascii="宋体" w:hAnsi="宋体" w:eastAsia="宋体" w:cs="宋体"/>
                <w:sz w:val="24"/>
                <w:szCs w:val="24"/>
              </w:rPr>
            </w:pPr>
          </w:p>
        </w:tc>
      </w:tr>
      <w:tr w14:paraId="0B85D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1" w:hRule="atLeast"/>
          <w:jc w:val="center"/>
        </w:trPr>
        <w:tc>
          <w:tcPr>
            <w:tcW w:w="1456" w:type="dxa"/>
            <w:tcBorders>
              <w:left w:val="single" w:color="auto" w:sz="2" w:space="0"/>
              <w:bottom w:val="nil"/>
            </w:tcBorders>
            <w:vAlign w:val="center"/>
          </w:tcPr>
          <w:p w14:paraId="49433479">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rPr>
              <w:t>检</w:t>
            </w:r>
          </w:p>
          <w:p w14:paraId="34D7E6F5">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rPr>
              <w:t>验</w:t>
            </w:r>
          </w:p>
          <w:p w14:paraId="5F2F5C17">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rPr>
              <w:t>结</w:t>
            </w:r>
          </w:p>
          <w:p w14:paraId="190F5BB2">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rPr>
              <w:t>论</w:t>
            </w:r>
          </w:p>
        </w:tc>
        <w:tc>
          <w:tcPr>
            <w:tcW w:w="7429" w:type="dxa"/>
            <w:gridSpan w:val="3"/>
            <w:tcBorders>
              <w:bottom w:val="nil"/>
              <w:right w:val="single" w:color="auto" w:sz="2" w:space="0"/>
            </w:tcBorders>
            <w:vAlign w:val="center"/>
          </w:tcPr>
          <w:p w14:paraId="1B5FC38B">
            <w:pPr>
              <w:spacing w:before="360" w:after="120" w:line="240" w:lineRule="atLeast"/>
              <w:ind w:firstLine="420"/>
              <w:rPr>
                <w:rFonts w:hint="eastAsia" w:ascii="宋体" w:hAnsi="宋体" w:eastAsia="宋体" w:cs="宋体"/>
                <w:sz w:val="24"/>
                <w:szCs w:val="24"/>
              </w:rPr>
            </w:pPr>
          </w:p>
          <w:p w14:paraId="214BB631">
            <w:pPr>
              <w:spacing w:before="360" w:after="120" w:line="240" w:lineRule="atLeast"/>
              <w:ind w:firstLine="420"/>
              <w:rPr>
                <w:rFonts w:hint="eastAsia" w:ascii="宋体" w:hAnsi="宋体" w:eastAsia="宋体" w:cs="宋体"/>
                <w:sz w:val="24"/>
                <w:szCs w:val="24"/>
              </w:rPr>
            </w:pPr>
            <w:r>
              <w:rPr>
                <w:rFonts w:hint="eastAsia" w:ascii="宋体" w:hAnsi="宋体" w:eastAsia="宋体" w:cs="宋体"/>
                <w:sz w:val="24"/>
                <w:szCs w:val="24"/>
              </w:rPr>
              <w:t>经检验，该样品所检项目</w:t>
            </w:r>
            <w:r>
              <w:rPr>
                <w:rFonts w:hint="eastAsia" w:ascii="宋体" w:hAnsi="宋体" w:eastAsia="宋体" w:cs="宋体"/>
                <w:color w:val="auto"/>
                <w:sz w:val="24"/>
                <w:szCs w:val="24"/>
                <w:highlight w:val="none"/>
                <w:lang w:val="en-US" w:eastAsia="zh-CN"/>
              </w:rPr>
              <w:t>符合</w:t>
            </w:r>
            <w:r>
              <w:rPr>
                <w:rFonts w:hint="eastAsia" w:ascii="宋体" w:hAnsi="宋体" w:eastAsia="宋体" w:cs="宋体"/>
                <w:sz w:val="24"/>
                <w:szCs w:val="24"/>
              </w:rPr>
              <w:t xml:space="preserve">GB </w:t>
            </w:r>
            <w:r>
              <w:rPr>
                <w:rFonts w:hint="eastAsia" w:ascii="宋体" w:hAnsi="宋体" w:eastAsia="宋体" w:cs="宋体"/>
                <w:sz w:val="24"/>
                <w:szCs w:val="24"/>
                <w:lang w:val="en-US" w:eastAsia="zh-CN"/>
              </w:rPr>
              <w:t>21668-2025</w:t>
            </w:r>
            <w:r>
              <w:rPr>
                <w:rFonts w:hint="eastAsia" w:ascii="宋体" w:hAnsi="宋体" w:eastAsia="宋体" w:cs="宋体"/>
                <w:sz w:val="24"/>
                <w:szCs w:val="24"/>
              </w:rPr>
              <w:t>《</w:t>
            </w:r>
            <w:r>
              <w:rPr>
                <w:rFonts w:hint="eastAsia" w:ascii="宋体" w:hAnsi="宋体" w:eastAsia="宋体" w:cs="宋体"/>
                <w:sz w:val="24"/>
                <w:szCs w:val="24"/>
                <w:lang w:val="en-US" w:eastAsia="zh-CN"/>
              </w:rPr>
              <w:t>危险货物运输车辆安全技术条件</w:t>
            </w:r>
            <w:r>
              <w:rPr>
                <w:rFonts w:hint="eastAsia" w:ascii="宋体" w:hAnsi="宋体" w:eastAsia="宋体" w:cs="宋体"/>
                <w:sz w:val="24"/>
                <w:szCs w:val="24"/>
              </w:rPr>
              <w:t>》的要求。</w:t>
            </w:r>
          </w:p>
          <w:p w14:paraId="1DDD1799">
            <w:pPr>
              <w:spacing w:line="500" w:lineRule="atLeast"/>
              <w:ind w:left="113" w:right="113" w:firstLine="454"/>
              <w:rPr>
                <w:rFonts w:hint="eastAsia" w:ascii="宋体" w:hAnsi="宋体" w:eastAsia="宋体" w:cs="宋体"/>
                <w:color w:val="000000" w:themeColor="text1"/>
                <w:sz w:val="24"/>
                <w:szCs w:val="24"/>
                <w14:textFill>
                  <w14:solidFill>
                    <w14:schemeClr w14:val="tx1"/>
                  </w14:solidFill>
                </w14:textFill>
              </w:rPr>
            </w:pPr>
          </w:p>
          <w:p w14:paraId="2D1DC50B">
            <w:pPr>
              <w:spacing w:line="500" w:lineRule="atLeast"/>
              <w:ind w:left="113" w:right="113" w:firstLine="454"/>
              <w:rPr>
                <w:rFonts w:hint="eastAsia" w:ascii="宋体" w:hAnsi="宋体" w:eastAsia="宋体" w:cs="宋体"/>
                <w:color w:val="000000" w:themeColor="text1"/>
                <w:sz w:val="24"/>
                <w:szCs w:val="24"/>
                <w14:textFill>
                  <w14:solidFill>
                    <w14:schemeClr w14:val="tx1"/>
                  </w14:solidFill>
                </w14:textFill>
              </w:rPr>
            </w:pPr>
          </w:p>
        </w:tc>
      </w:tr>
      <w:tr w14:paraId="5D6FF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0" w:hRule="atLeast"/>
          <w:jc w:val="center"/>
        </w:trPr>
        <w:tc>
          <w:tcPr>
            <w:tcW w:w="1456" w:type="dxa"/>
            <w:tcBorders>
              <w:top w:val="nil"/>
              <w:left w:val="single" w:color="auto" w:sz="2" w:space="0"/>
              <w:bottom w:val="single" w:color="auto" w:sz="4" w:space="0"/>
            </w:tcBorders>
          </w:tcPr>
          <w:p w14:paraId="659449BD">
            <w:pPr>
              <w:spacing w:line="240" w:lineRule="atLeast"/>
              <w:ind w:left="57" w:right="57"/>
              <w:jc w:val="center"/>
              <w:rPr>
                <w:rFonts w:hint="eastAsia" w:ascii="宋体" w:hAnsi="宋体" w:eastAsia="宋体" w:cs="宋体"/>
                <w:sz w:val="24"/>
                <w:szCs w:val="24"/>
              </w:rPr>
            </w:pPr>
          </w:p>
        </w:tc>
        <w:tc>
          <w:tcPr>
            <w:tcW w:w="7429" w:type="dxa"/>
            <w:gridSpan w:val="3"/>
            <w:tcBorders>
              <w:top w:val="nil"/>
              <w:bottom w:val="single" w:color="auto" w:sz="4" w:space="0"/>
              <w:right w:val="single" w:color="auto" w:sz="2" w:space="0"/>
            </w:tcBorders>
          </w:tcPr>
          <w:p w14:paraId="189ADE0A">
            <w:pPr>
              <w:tabs>
                <w:tab w:val="left" w:pos="5427"/>
                <w:tab w:val="right" w:pos="8665"/>
              </w:tabs>
              <w:spacing w:line="240" w:lineRule="atLeast"/>
              <w:ind w:left="57" w:right="57"/>
              <w:jc w:val="center"/>
              <w:rPr>
                <w:rFonts w:hint="eastAsia" w:ascii="宋体" w:hAnsi="宋体" w:eastAsia="宋体" w:cs="宋体"/>
                <w:sz w:val="24"/>
                <w:szCs w:val="24"/>
              </w:rPr>
            </w:pPr>
          </w:p>
          <w:p w14:paraId="0FBAF8E4">
            <w:pPr>
              <w:tabs>
                <w:tab w:val="left" w:pos="5427"/>
                <w:tab w:val="right" w:pos="8665"/>
              </w:tabs>
              <w:spacing w:line="240" w:lineRule="atLeast"/>
              <w:ind w:left="57" w:right="57"/>
              <w:jc w:val="center"/>
              <w:rPr>
                <w:rFonts w:hint="eastAsia" w:ascii="宋体" w:hAnsi="宋体" w:eastAsia="宋体" w:cs="宋体"/>
                <w:sz w:val="24"/>
                <w:szCs w:val="24"/>
              </w:rPr>
            </w:pPr>
          </w:p>
          <w:p w14:paraId="2F4F1CE8">
            <w:pPr>
              <w:tabs>
                <w:tab w:val="left" w:pos="5427"/>
                <w:tab w:val="right" w:pos="8665"/>
              </w:tabs>
              <w:spacing w:line="240" w:lineRule="atLeast"/>
              <w:ind w:left="57" w:right="5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38F4ECED">
            <w:pPr>
              <w:tabs>
                <w:tab w:val="left" w:pos="5427"/>
                <w:tab w:val="right" w:pos="8665"/>
              </w:tabs>
              <w:spacing w:line="240" w:lineRule="atLeast"/>
              <w:ind w:left="57" w:right="57"/>
              <w:jc w:val="center"/>
              <w:rPr>
                <w:rFonts w:hint="eastAsia" w:ascii="宋体" w:hAnsi="宋体" w:eastAsia="宋体" w:cs="宋体"/>
                <w:sz w:val="24"/>
                <w:szCs w:val="24"/>
                <w:lang w:val="en-US" w:eastAsia="zh-CN"/>
              </w:rPr>
            </w:pPr>
          </w:p>
          <w:p w14:paraId="241AF2B1">
            <w:pPr>
              <w:tabs>
                <w:tab w:val="left" w:pos="5427"/>
                <w:tab w:val="right" w:pos="8665"/>
              </w:tabs>
              <w:spacing w:line="240" w:lineRule="atLeast"/>
              <w:ind w:left="57" w:right="5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签发日期：</w:t>
            </w:r>
            <w:r>
              <w:rPr>
                <w:rFonts w:hint="eastAsia" w:ascii="宋体" w:hAnsi="宋体" w:eastAsia="宋体" w:cs="宋体"/>
                <w:sz w:val="24"/>
                <w:szCs w:val="24"/>
                <w:lang w:val="en-US" w:eastAsia="zh-CN"/>
              </w:rPr>
              <w:t>XXXX</w:t>
            </w:r>
          </w:p>
          <w:p w14:paraId="1F6EEF07">
            <w:pPr>
              <w:tabs>
                <w:tab w:val="left" w:pos="5427"/>
                <w:tab w:val="right" w:pos="8665"/>
              </w:tabs>
              <w:spacing w:line="240" w:lineRule="atLeast"/>
              <w:ind w:left="57" w:right="57"/>
              <w:jc w:val="center"/>
              <w:rPr>
                <w:rFonts w:hint="eastAsia" w:ascii="宋体" w:hAnsi="宋体" w:eastAsia="宋体" w:cs="宋体"/>
                <w:sz w:val="24"/>
                <w:szCs w:val="24"/>
              </w:rPr>
            </w:pPr>
          </w:p>
        </w:tc>
      </w:tr>
      <w:tr w14:paraId="3809F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1456" w:type="dxa"/>
            <w:tcBorders>
              <w:top w:val="nil"/>
              <w:left w:val="single" w:color="auto" w:sz="2" w:space="0"/>
              <w:bottom w:val="single" w:color="auto" w:sz="2" w:space="0"/>
            </w:tcBorders>
            <w:vAlign w:val="center"/>
          </w:tcPr>
          <w:p w14:paraId="28BCDFD9">
            <w:pPr>
              <w:spacing w:line="240" w:lineRule="atLeast"/>
              <w:ind w:left="57" w:right="57"/>
              <w:jc w:val="center"/>
              <w:rPr>
                <w:rFonts w:hint="eastAsia" w:ascii="宋体" w:hAnsi="宋体" w:eastAsia="宋体" w:cs="宋体"/>
                <w:sz w:val="24"/>
                <w:szCs w:val="24"/>
              </w:rPr>
            </w:pPr>
            <w:r>
              <w:rPr>
                <w:rFonts w:hint="eastAsia" w:ascii="宋体" w:hAnsi="宋体" w:eastAsia="宋体" w:cs="宋体"/>
                <w:sz w:val="24"/>
                <w:szCs w:val="24"/>
              </w:rPr>
              <w:t>备注</w:t>
            </w:r>
          </w:p>
        </w:tc>
        <w:tc>
          <w:tcPr>
            <w:tcW w:w="7429" w:type="dxa"/>
            <w:gridSpan w:val="3"/>
            <w:tcBorders>
              <w:top w:val="nil"/>
              <w:bottom w:val="single" w:color="auto" w:sz="2" w:space="0"/>
              <w:right w:val="single" w:color="auto" w:sz="2" w:space="0"/>
            </w:tcBorders>
            <w:vAlign w:val="center"/>
          </w:tcPr>
          <w:p w14:paraId="6645236C">
            <w:pPr>
              <w:snapToGrid w:val="0"/>
              <w:spacing w:line="500" w:lineRule="atLeast"/>
              <w:ind w:right="113" w:firstLine="120" w:firstLineChars="5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r>
    </w:tbl>
    <w:p w14:paraId="2A8384B5">
      <w:pPr>
        <w:rPr>
          <w:rFonts w:ascii="宋体" w:hAnsi="宋体"/>
          <w:szCs w:val="21"/>
        </w:rPr>
      </w:pPr>
    </w:p>
    <w:p w14:paraId="5547D75F">
      <w:pPr>
        <w:spacing w:beforeLines="0" w:afterLines="0" w:line="312" w:lineRule="atLeast"/>
        <w:ind w:right="-109" w:firstLine="210" w:firstLineChars="100"/>
        <w:jc w:val="both"/>
        <w:textAlignment w:val="auto"/>
        <w:rPr>
          <w:rFonts w:hint="default" w:ascii="Times New Roman" w:hAnsi="Times New Roman" w:cs="Times New Roman"/>
          <w:highlight w:val="none"/>
        </w:rPr>
      </w:pPr>
      <w:r>
        <w:rPr>
          <w:rFonts w:hint="default" w:ascii="Times New Roman" w:hAnsi="Times New Roman" w:cs="Times New Roman"/>
          <w:sz w:val="21"/>
          <w:highlight w:val="none"/>
        </w:rPr>
        <w:t>批准：</w:t>
      </w:r>
      <w:bookmarkStart w:id="0" w:name="sign3_1"/>
      <w:bookmarkEnd w:id="0"/>
      <w:r>
        <w:rPr>
          <w:rFonts w:hint="default" w:ascii="Times New Roman" w:hAnsi="Times New Roman" w:cs="Times New Roman"/>
          <w:sz w:val="21"/>
          <w:highlight w:val="none"/>
        </w:rPr>
        <w:t xml:space="preserve">                    </w:t>
      </w:r>
      <w:r>
        <w:rPr>
          <w:rFonts w:hint="eastAsia" w:ascii="Times New Roman" w:hAnsi="Times New Roman" w:cs="Times New Roman"/>
          <w:sz w:val="21"/>
          <w:highlight w:val="none"/>
          <w:lang w:val="en-US" w:eastAsia="zh-CN"/>
        </w:rPr>
        <w:t xml:space="preserve">    </w:t>
      </w:r>
      <w:r>
        <w:rPr>
          <w:rFonts w:hint="default" w:ascii="Times New Roman" w:hAnsi="Times New Roman" w:cs="Times New Roman"/>
          <w:sz w:val="21"/>
          <w:highlight w:val="none"/>
        </w:rPr>
        <w:t xml:space="preserve"> 审核：</w:t>
      </w:r>
      <w:bookmarkStart w:id="1" w:name="sign2_1"/>
      <w:bookmarkEnd w:id="1"/>
      <w:r>
        <w:rPr>
          <w:rFonts w:hint="default" w:ascii="Times New Roman" w:hAnsi="Times New Roman" w:cs="Times New Roman"/>
          <w:sz w:val="21"/>
          <w:highlight w:val="none"/>
        </w:rPr>
        <w:t xml:space="preserve">             </w:t>
      </w:r>
      <w:r>
        <w:rPr>
          <w:rFonts w:hint="eastAsia" w:ascii="Times New Roman" w:hAnsi="Times New Roman" w:cs="Times New Roman"/>
          <w:sz w:val="21"/>
          <w:highlight w:val="none"/>
          <w:lang w:val="en-US" w:eastAsia="zh-CN"/>
        </w:rPr>
        <w:t xml:space="preserve">    </w:t>
      </w:r>
      <w:r>
        <w:rPr>
          <w:rFonts w:hint="default" w:ascii="Times New Roman" w:hAnsi="Times New Roman" w:cs="Times New Roman"/>
          <w:sz w:val="21"/>
          <w:highlight w:val="none"/>
        </w:rPr>
        <w:t xml:space="preserve">     主检：</w:t>
      </w:r>
      <w:r>
        <w:rPr>
          <w:rFonts w:hint="default" w:ascii="Times New Roman" w:hAnsi="Times New Roman" w:cs="Times New Roman"/>
          <w:b/>
          <w:sz w:val="21"/>
          <w:highlight w:val="none"/>
        </w:rPr>
        <w:t xml:space="preserve">         </w:t>
      </w:r>
      <w:r>
        <w:rPr>
          <w:rFonts w:hint="default" w:ascii="Times New Roman" w:hAnsi="Times New Roman" w:cs="Times New Roman"/>
          <w:highlight w:val="none"/>
        </w:rPr>
        <w:br w:type="page"/>
      </w:r>
    </w:p>
    <w:p w14:paraId="54102723">
      <w:pPr>
        <w:rPr>
          <w:rFonts w:ascii="宋体" w:hAnsi="宋体"/>
          <w:szCs w:val="21"/>
        </w:rPr>
      </w:pPr>
    </w:p>
    <w:p w14:paraId="41DEA784">
      <w:pPr>
        <w:pStyle w:val="9"/>
        <w:keepNext w:val="0"/>
        <w:keepLines w:val="0"/>
        <w:pageBreakBefore w:val="0"/>
        <w:widowControl w:val="0"/>
        <w:numPr>
          <w:ilvl w:val="0"/>
          <w:numId w:val="4"/>
        </w:numPr>
        <w:kinsoku/>
        <w:wordWrap/>
        <w:overflowPunct/>
        <w:topLinePunct w:val="0"/>
        <w:autoSpaceDE/>
        <w:autoSpaceDN/>
        <w:bidi w:val="0"/>
        <w:adjustRightInd/>
        <w:snapToGrid/>
        <w:ind w:firstLine="0" w:firstLineChars="0"/>
        <w:jc w:val="left"/>
        <w:textAlignment w:val="auto"/>
        <w:rPr>
          <w:rFonts w:hint="default" w:ascii="Times New Roman" w:hAnsi="Times New Roman" w:cs="Times New Roman"/>
          <w:b/>
          <w:lang w:val="en-US" w:eastAsia="zh-CN"/>
        </w:rPr>
      </w:pPr>
      <w:r>
        <w:rPr>
          <w:rFonts w:hint="default" w:ascii="Times New Roman" w:hAnsi="Times New Roman" w:cs="Times New Roman"/>
          <w:b/>
          <w:lang w:val="en-US" w:eastAsia="zh-CN"/>
        </w:rPr>
        <w:t>检验结果</w:t>
      </w:r>
    </w:p>
    <w:p w14:paraId="0FEFE966">
      <w:pPr>
        <w:pStyle w:val="9"/>
        <w:ind w:left="0" w:leftChars="0" w:firstLine="0" w:firstLineChars="0"/>
        <w:jc w:val="left"/>
        <w:rPr>
          <w:rFonts w:hint="default" w:ascii="Times New Roman" w:hAnsi="Times New Roman" w:cs="Times New Roman"/>
          <w:b/>
          <w:lang w:val="en-US" w:eastAsia="zh-CN"/>
        </w:rPr>
      </w:pPr>
      <w:r>
        <w:rPr>
          <w:rFonts w:hint="default" w:ascii="Times New Roman" w:hAnsi="Times New Roman" w:cs="Times New Roman"/>
          <w:b/>
          <w:lang w:val="en-US" w:eastAsia="zh-CN"/>
        </w:rPr>
        <w:t>1.1 一般安全要求</w:t>
      </w:r>
    </w:p>
    <w:tbl>
      <w:tblPr>
        <w:tblStyle w:val="10"/>
        <w:tblW w:w="8690"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91"/>
        <w:gridCol w:w="237"/>
        <w:gridCol w:w="3365"/>
        <w:gridCol w:w="3025"/>
        <w:gridCol w:w="9"/>
        <w:gridCol w:w="700"/>
        <w:gridCol w:w="9"/>
        <w:gridCol w:w="700"/>
        <w:gridCol w:w="9"/>
      </w:tblGrid>
      <w:tr w14:paraId="47B404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720" w:hRule="atLeast"/>
        </w:trPr>
        <w:tc>
          <w:tcPr>
            <w:tcW w:w="345" w:type="dxa"/>
            <w:tcBorders>
              <w:top w:val="single" w:color="auto" w:sz="4" w:space="0"/>
              <w:left w:val="single" w:color="auto" w:sz="4" w:space="0"/>
              <w:bottom w:val="single" w:color="auto" w:sz="6" w:space="0"/>
              <w:right w:val="single" w:color="auto" w:sz="4" w:space="0"/>
            </w:tcBorders>
            <w:vAlign w:val="center"/>
          </w:tcPr>
          <w:p w14:paraId="3EDCAD46">
            <w:pPr>
              <w:spacing w:line="240" w:lineRule="exact"/>
              <w:jc w:val="center"/>
              <w:rPr>
                <w:rFonts w:hint="default" w:ascii="Times New Roman" w:hAnsi="Times New Roman" w:cs="Times New Roman"/>
                <w:sz w:val="21"/>
                <w:szCs w:val="21"/>
              </w:rPr>
            </w:pPr>
            <w:bookmarkStart w:id="2" w:name="_Hlk146638982"/>
            <w:r>
              <w:rPr>
                <w:rFonts w:hint="default" w:ascii="Times New Roman" w:hAnsi="Times New Roman" w:cs="Times New Roman"/>
                <w:sz w:val="21"/>
                <w:szCs w:val="21"/>
              </w:rPr>
              <w:t>序号</w:t>
            </w:r>
          </w:p>
        </w:tc>
        <w:tc>
          <w:tcPr>
            <w:tcW w:w="528" w:type="dxa"/>
            <w:gridSpan w:val="2"/>
            <w:tcBorders>
              <w:top w:val="single" w:color="auto" w:sz="4" w:space="0"/>
              <w:left w:val="single" w:color="auto" w:sz="4" w:space="0"/>
              <w:bottom w:val="single" w:color="auto" w:sz="6" w:space="0"/>
              <w:right w:val="single" w:color="auto" w:sz="6" w:space="0"/>
            </w:tcBorders>
            <w:vAlign w:val="center"/>
          </w:tcPr>
          <w:p w14:paraId="21241451">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365" w:type="dxa"/>
            <w:tcBorders>
              <w:top w:val="single" w:color="auto" w:sz="4" w:space="0"/>
              <w:left w:val="single" w:color="auto" w:sz="6" w:space="0"/>
              <w:bottom w:val="single" w:color="auto" w:sz="6" w:space="0"/>
              <w:right w:val="single" w:color="auto" w:sz="6" w:space="0"/>
            </w:tcBorders>
            <w:vAlign w:val="center"/>
          </w:tcPr>
          <w:p w14:paraId="7D58DF0D">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025" w:type="dxa"/>
            <w:tcBorders>
              <w:top w:val="single" w:color="auto" w:sz="4" w:space="0"/>
              <w:left w:val="single" w:color="auto" w:sz="6" w:space="0"/>
              <w:bottom w:val="single" w:color="auto" w:sz="6" w:space="0"/>
              <w:right w:val="single" w:color="auto" w:sz="6" w:space="0"/>
            </w:tcBorders>
            <w:vAlign w:val="center"/>
          </w:tcPr>
          <w:p w14:paraId="473127B8">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gridSpan w:val="2"/>
            <w:tcBorders>
              <w:top w:val="single" w:color="auto" w:sz="4" w:space="0"/>
              <w:left w:val="single" w:color="auto" w:sz="6" w:space="0"/>
              <w:bottom w:val="single" w:color="auto" w:sz="6" w:space="0"/>
              <w:right w:val="single" w:color="auto" w:sz="4" w:space="0"/>
            </w:tcBorders>
            <w:vAlign w:val="center"/>
          </w:tcPr>
          <w:p w14:paraId="41A40E3A">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gridSpan w:val="2"/>
            <w:tcBorders>
              <w:top w:val="single" w:color="auto" w:sz="4" w:space="0"/>
              <w:left w:val="single" w:color="auto" w:sz="6" w:space="0"/>
              <w:bottom w:val="single" w:color="auto" w:sz="6" w:space="0"/>
              <w:right w:val="single" w:color="auto" w:sz="4" w:space="0"/>
            </w:tcBorders>
            <w:vAlign w:val="center"/>
          </w:tcPr>
          <w:p w14:paraId="1A5AAFFF">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4492D2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923" w:hRule="atLeast"/>
        </w:trPr>
        <w:tc>
          <w:tcPr>
            <w:tcW w:w="345" w:type="dxa"/>
            <w:tcBorders>
              <w:top w:val="single" w:color="auto" w:sz="4" w:space="0"/>
              <w:left w:val="single" w:color="auto" w:sz="4" w:space="0"/>
              <w:bottom w:val="single" w:color="auto" w:sz="4" w:space="0"/>
              <w:right w:val="single" w:color="auto" w:sz="4" w:space="0"/>
            </w:tcBorders>
            <w:vAlign w:val="center"/>
          </w:tcPr>
          <w:p w14:paraId="6AF60A81">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528" w:type="dxa"/>
            <w:gridSpan w:val="2"/>
            <w:vMerge w:val="restart"/>
            <w:tcBorders>
              <w:top w:val="single" w:color="auto" w:sz="4" w:space="0"/>
              <w:left w:val="single" w:color="auto" w:sz="4" w:space="0"/>
              <w:right w:val="single" w:color="auto" w:sz="6" w:space="0"/>
            </w:tcBorders>
            <w:vAlign w:val="center"/>
          </w:tcPr>
          <w:p w14:paraId="0D39736A">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基本要求</w:t>
            </w:r>
          </w:p>
        </w:tc>
        <w:tc>
          <w:tcPr>
            <w:tcW w:w="3365" w:type="dxa"/>
            <w:tcBorders>
              <w:top w:val="single" w:color="auto" w:sz="4" w:space="0"/>
              <w:left w:val="single" w:color="auto" w:sz="6" w:space="0"/>
              <w:bottom w:val="single" w:color="auto" w:sz="4" w:space="0"/>
              <w:right w:val="single" w:color="auto" w:sz="6" w:space="0"/>
            </w:tcBorders>
            <w:vAlign w:val="center"/>
          </w:tcPr>
          <w:p w14:paraId="6791080E">
            <w:pPr>
              <w:pStyle w:val="19"/>
              <w:numPr>
                <w:ilvl w:val="3"/>
                <w:numId w:val="0"/>
              </w:numPr>
              <w:spacing w:line="240" w:lineRule="auto"/>
              <w:ind w:leftChars="0"/>
              <w:rPr>
                <w:rFonts w:hint="default" w:ascii="Times New Roman" w:hAnsi="Times New Roman" w:cs="Times New Roman"/>
                <w:sz w:val="21"/>
                <w:szCs w:val="21"/>
                <w:highlight w:val="none"/>
              </w:rPr>
            </w:pPr>
            <w:r>
              <w:rPr>
                <w:rFonts w:hint="default" w:ascii="Times New Roman" w:hAnsi="Times New Roman" w:cs="Times New Roman"/>
                <w:highlight w:val="none"/>
              </w:rPr>
              <w:t>危险货物运输车辆的载货装置为封闭式货厢时，货厢内应设置货物固定紧固装置。</w:t>
            </w:r>
          </w:p>
        </w:tc>
        <w:tc>
          <w:tcPr>
            <w:tcW w:w="3025" w:type="dxa"/>
            <w:tcBorders>
              <w:top w:val="single" w:color="auto" w:sz="4" w:space="0"/>
              <w:left w:val="single" w:color="auto" w:sz="6" w:space="0"/>
              <w:bottom w:val="single" w:color="auto" w:sz="4" w:space="0"/>
              <w:right w:val="single" w:color="auto" w:sz="6" w:space="0"/>
            </w:tcBorders>
            <w:vAlign w:val="center"/>
          </w:tcPr>
          <w:p w14:paraId="72BEF7EF">
            <w:pPr>
              <w:spacing w:line="240" w:lineRule="exact"/>
              <w:jc w:val="both"/>
              <w:rPr>
                <w:rFonts w:hint="default"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bottom w:val="single" w:color="auto" w:sz="4" w:space="0"/>
              <w:right w:val="single" w:color="auto" w:sz="4" w:space="0"/>
            </w:tcBorders>
            <w:vAlign w:val="center"/>
          </w:tcPr>
          <w:p w14:paraId="13ED3068">
            <w:pPr>
              <w:spacing w:line="240" w:lineRule="exact"/>
              <w:jc w:val="center"/>
              <w:rPr>
                <w:rFonts w:hint="eastAsia"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bottom w:val="single" w:color="auto" w:sz="4" w:space="0"/>
              <w:right w:val="single" w:color="auto" w:sz="4" w:space="0"/>
            </w:tcBorders>
            <w:vAlign w:val="center"/>
          </w:tcPr>
          <w:p w14:paraId="1C21E633">
            <w:pPr>
              <w:spacing w:line="240" w:lineRule="exact"/>
              <w:jc w:val="center"/>
              <w:rPr>
                <w:rFonts w:hint="eastAsia" w:ascii="Times New Roman" w:hAnsi="Times New Roman" w:eastAsia="宋体" w:cs="Times New Roman"/>
                <w:sz w:val="21"/>
                <w:szCs w:val="21"/>
                <w:lang w:val="en-US" w:eastAsia="zh-CN"/>
              </w:rPr>
            </w:pPr>
          </w:p>
        </w:tc>
      </w:tr>
      <w:tr w14:paraId="32AC6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695" w:hRule="atLeast"/>
        </w:trPr>
        <w:tc>
          <w:tcPr>
            <w:tcW w:w="345" w:type="dxa"/>
            <w:tcBorders>
              <w:top w:val="single" w:color="auto" w:sz="4" w:space="0"/>
              <w:left w:val="single" w:color="auto" w:sz="4" w:space="0"/>
              <w:bottom w:val="single" w:color="auto" w:sz="4" w:space="0"/>
              <w:right w:val="single" w:color="auto" w:sz="4" w:space="0"/>
            </w:tcBorders>
            <w:vAlign w:val="center"/>
          </w:tcPr>
          <w:p w14:paraId="1B21493A">
            <w:pPr>
              <w:spacing w:line="240" w:lineRule="exact"/>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2</w:t>
            </w:r>
          </w:p>
        </w:tc>
        <w:tc>
          <w:tcPr>
            <w:tcW w:w="528" w:type="dxa"/>
            <w:gridSpan w:val="2"/>
            <w:vMerge w:val="continue"/>
            <w:tcBorders>
              <w:left w:val="single" w:color="auto" w:sz="4" w:space="0"/>
              <w:right w:val="single" w:color="auto" w:sz="6" w:space="0"/>
            </w:tcBorders>
            <w:vAlign w:val="center"/>
          </w:tcPr>
          <w:p w14:paraId="2EC7EE52">
            <w:pPr>
              <w:spacing w:line="240" w:lineRule="exact"/>
              <w:jc w:val="center"/>
              <w:rPr>
                <w:rFonts w:hint="default" w:ascii="Times New Roman" w:hAnsi="Times New Roman" w:cs="Times New Roman"/>
                <w:sz w:val="21"/>
                <w:szCs w:val="21"/>
                <w:lang w:val="en-US" w:eastAsia="zh-CN"/>
              </w:rPr>
            </w:pPr>
          </w:p>
        </w:tc>
        <w:tc>
          <w:tcPr>
            <w:tcW w:w="3365" w:type="dxa"/>
            <w:tcBorders>
              <w:top w:val="single" w:color="auto" w:sz="4" w:space="0"/>
              <w:left w:val="single" w:color="auto" w:sz="6" w:space="0"/>
              <w:bottom w:val="single" w:color="auto" w:sz="4" w:space="0"/>
              <w:right w:val="single" w:color="auto" w:sz="6" w:space="0"/>
            </w:tcBorders>
            <w:vAlign w:val="center"/>
          </w:tcPr>
          <w:p w14:paraId="24BF3FE1">
            <w:pPr>
              <w:pStyle w:val="19"/>
              <w:numPr>
                <w:ilvl w:val="3"/>
                <w:numId w:val="0"/>
              </w:numPr>
              <w:spacing w:line="240" w:lineRule="auto"/>
              <w:ind w:leftChars="0"/>
              <w:rPr>
                <w:rFonts w:hint="default" w:ascii="Times New Roman" w:hAnsi="Times New Roman" w:cs="Times New Roman"/>
                <w:highlight w:val="none"/>
              </w:rPr>
            </w:pPr>
            <w:r>
              <w:rPr>
                <w:rFonts w:hint="default" w:ascii="Times New Roman" w:hAnsi="Times New Roman" w:cs="Times New Roman"/>
                <w:sz w:val="21"/>
                <w:szCs w:val="21"/>
                <w:highlight w:val="none"/>
                <w:lang w:val="en-US" w:eastAsia="zh-CN"/>
              </w:rPr>
              <w:t>危险货物运输车辆的车轴应不可提升。</w:t>
            </w:r>
          </w:p>
        </w:tc>
        <w:tc>
          <w:tcPr>
            <w:tcW w:w="3025" w:type="dxa"/>
            <w:tcBorders>
              <w:top w:val="single" w:color="auto" w:sz="4" w:space="0"/>
              <w:left w:val="single" w:color="auto" w:sz="6" w:space="0"/>
              <w:bottom w:val="single" w:color="auto" w:sz="4" w:space="0"/>
              <w:right w:val="single" w:color="auto" w:sz="6" w:space="0"/>
            </w:tcBorders>
            <w:vAlign w:val="center"/>
          </w:tcPr>
          <w:p w14:paraId="02DF5EEA">
            <w:pPr>
              <w:spacing w:line="240" w:lineRule="exact"/>
              <w:jc w:val="both"/>
              <w:rPr>
                <w:rFonts w:hint="default"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bottom w:val="single" w:color="auto" w:sz="4" w:space="0"/>
              <w:right w:val="single" w:color="auto" w:sz="4" w:space="0"/>
            </w:tcBorders>
            <w:vAlign w:val="center"/>
          </w:tcPr>
          <w:p w14:paraId="20E68191">
            <w:pPr>
              <w:spacing w:line="240" w:lineRule="exact"/>
              <w:jc w:val="center"/>
              <w:rPr>
                <w:rFonts w:hint="eastAsia"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bottom w:val="single" w:color="auto" w:sz="4" w:space="0"/>
              <w:right w:val="single" w:color="auto" w:sz="4" w:space="0"/>
            </w:tcBorders>
            <w:vAlign w:val="center"/>
          </w:tcPr>
          <w:p w14:paraId="4E89E206">
            <w:pPr>
              <w:spacing w:line="240" w:lineRule="exact"/>
              <w:jc w:val="center"/>
              <w:rPr>
                <w:rFonts w:hint="eastAsia" w:ascii="Times New Roman" w:hAnsi="Times New Roman" w:eastAsia="宋体" w:cs="Times New Roman"/>
                <w:sz w:val="21"/>
                <w:szCs w:val="21"/>
                <w:lang w:val="en-US" w:eastAsia="zh-CN"/>
              </w:rPr>
            </w:pPr>
          </w:p>
        </w:tc>
      </w:tr>
      <w:tr w14:paraId="2466D6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312" w:hRule="atLeast"/>
        </w:trPr>
        <w:tc>
          <w:tcPr>
            <w:tcW w:w="345" w:type="dxa"/>
            <w:tcBorders>
              <w:top w:val="single" w:color="auto" w:sz="4" w:space="0"/>
              <w:left w:val="single" w:color="auto" w:sz="4" w:space="0"/>
              <w:right w:val="single" w:color="auto" w:sz="4" w:space="0"/>
            </w:tcBorders>
            <w:vAlign w:val="center"/>
          </w:tcPr>
          <w:p w14:paraId="2CA5D742">
            <w:pPr>
              <w:spacing w:line="240" w:lineRule="exact"/>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3</w:t>
            </w:r>
          </w:p>
        </w:tc>
        <w:tc>
          <w:tcPr>
            <w:tcW w:w="528" w:type="dxa"/>
            <w:gridSpan w:val="2"/>
            <w:vMerge w:val="continue"/>
            <w:tcBorders>
              <w:left w:val="single" w:color="auto" w:sz="4" w:space="0"/>
              <w:right w:val="single" w:color="auto" w:sz="6" w:space="0"/>
            </w:tcBorders>
            <w:vAlign w:val="center"/>
          </w:tcPr>
          <w:p w14:paraId="3A24F6D4">
            <w:pPr>
              <w:spacing w:line="240" w:lineRule="exact"/>
              <w:jc w:val="center"/>
              <w:rPr>
                <w:rFonts w:hint="default" w:ascii="Times New Roman" w:hAnsi="Times New Roman" w:cs="Times New Roman"/>
                <w:sz w:val="21"/>
                <w:szCs w:val="21"/>
                <w:lang w:val="en-US" w:eastAsia="zh-CN"/>
              </w:rPr>
            </w:pPr>
          </w:p>
        </w:tc>
        <w:tc>
          <w:tcPr>
            <w:tcW w:w="3365" w:type="dxa"/>
            <w:tcBorders>
              <w:top w:val="single" w:color="auto" w:sz="4" w:space="0"/>
              <w:left w:val="single" w:color="auto" w:sz="6" w:space="0"/>
              <w:right w:val="single" w:color="auto" w:sz="6" w:space="0"/>
            </w:tcBorders>
            <w:shd w:val="clear" w:color="auto" w:fill="auto"/>
            <w:vAlign w:val="center"/>
          </w:tcPr>
          <w:p w14:paraId="4DBB4FBF">
            <w:pPr>
              <w:pStyle w:val="19"/>
              <w:numPr>
                <w:ilvl w:val="3"/>
                <w:numId w:val="0"/>
              </w:numPr>
              <w:spacing w:line="240" w:lineRule="auto"/>
              <w:ind w:left="0" w:leftChars="0" w:firstLine="0" w:firstLineChars="0"/>
              <w:rPr>
                <w:rFonts w:hint="default" w:ascii="Times New Roman" w:hAnsi="Times New Roman" w:eastAsia="宋体" w:cs="Times New Roman"/>
                <w:sz w:val="21"/>
                <w:szCs w:val="21"/>
                <w:highlight w:val="none"/>
                <w:lang w:val="en-US" w:eastAsia="zh-CN" w:bidi="ar-SA"/>
              </w:rPr>
            </w:pPr>
            <w:r>
              <w:rPr>
                <w:rFonts w:hint="default" w:ascii="Times New Roman" w:hAnsi="Times New Roman" w:cs="Times New Roman"/>
                <w:highlight w:val="none"/>
              </w:rPr>
              <w:t>危险货物运输车辆配备车用起重尾板时，应符合GB/T 37706的规定。车用起重尾板的液压和电控系统应满足5.3</w:t>
            </w:r>
            <w:r>
              <w:rPr>
                <w:rFonts w:hint="default" w:ascii="Times New Roman" w:hAnsi="Times New Roman" w:cs="Times New Roman"/>
                <w:highlight w:val="none"/>
                <w:lang w:val="en-US" w:eastAsia="zh-CN"/>
              </w:rPr>
              <w:t>的要求</w:t>
            </w:r>
            <w:r>
              <w:rPr>
                <w:rFonts w:hint="default" w:ascii="Times New Roman" w:hAnsi="Times New Roman" w:cs="Times New Roman"/>
                <w:highlight w:val="none"/>
              </w:rPr>
              <w:t>。</w:t>
            </w:r>
          </w:p>
        </w:tc>
        <w:tc>
          <w:tcPr>
            <w:tcW w:w="3025" w:type="dxa"/>
            <w:tcBorders>
              <w:top w:val="single" w:color="auto" w:sz="4" w:space="0"/>
              <w:left w:val="single" w:color="auto" w:sz="6" w:space="0"/>
              <w:right w:val="single" w:color="auto" w:sz="6" w:space="0"/>
            </w:tcBorders>
            <w:vAlign w:val="center"/>
          </w:tcPr>
          <w:p w14:paraId="5A5CE21E">
            <w:pPr>
              <w:spacing w:line="240" w:lineRule="exact"/>
              <w:jc w:val="both"/>
              <w:rPr>
                <w:rFonts w:hint="default"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right w:val="single" w:color="auto" w:sz="4" w:space="0"/>
            </w:tcBorders>
            <w:vAlign w:val="center"/>
          </w:tcPr>
          <w:p w14:paraId="0ED6CC50">
            <w:pPr>
              <w:spacing w:line="240" w:lineRule="exact"/>
              <w:jc w:val="center"/>
              <w:rPr>
                <w:rFonts w:hint="eastAsia"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right w:val="single" w:color="auto" w:sz="4" w:space="0"/>
            </w:tcBorders>
            <w:vAlign w:val="center"/>
          </w:tcPr>
          <w:p w14:paraId="58F29408">
            <w:pPr>
              <w:spacing w:line="240" w:lineRule="exact"/>
              <w:jc w:val="center"/>
              <w:rPr>
                <w:rFonts w:hint="eastAsia" w:ascii="Times New Roman" w:hAnsi="Times New Roman" w:eastAsia="宋体" w:cs="Times New Roman"/>
                <w:sz w:val="21"/>
                <w:szCs w:val="21"/>
                <w:lang w:val="en-US" w:eastAsia="zh-CN"/>
              </w:rPr>
            </w:pPr>
          </w:p>
        </w:tc>
      </w:tr>
      <w:bookmarkEnd w:id="2"/>
      <w:tr w14:paraId="3A9B87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1062" w:hRule="atLeast"/>
        </w:trPr>
        <w:tc>
          <w:tcPr>
            <w:tcW w:w="345" w:type="dxa"/>
            <w:tcBorders>
              <w:top w:val="single" w:color="auto" w:sz="4" w:space="0"/>
              <w:left w:val="single" w:color="auto" w:sz="4" w:space="0"/>
              <w:bottom w:val="single" w:color="auto" w:sz="4" w:space="0"/>
              <w:right w:val="single" w:color="auto" w:sz="4" w:space="0"/>
            </w:tcBorders>
            <w:vAlign w:val="center"/>
          </w:tcPr>
          <w:p w14:paraId="3BCDB6C4">
            <w:pPr>
              <w:spacing w:line="240" w:lineRule="exact"/>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4</w:t>
            </w:r>
          </w:p>
        </w:tc>
        <w:tc>
          <w:tcPr>
            <w:tcW w:w="528" w:type="dxa"/>
            <w:gridSpan w:val="2"/>
            <w:vMerge w:val="continue"/>
            <w:tcBorders>
              <w:left w:val="single" w:color="auto" w:sz="4" w:space="0"/>
              <w:right w:val="single" w:color="auto" w:sz="6" w:space="0"/>
            </w:tcBorders>
          </w:tcPr>
          <w:p w14:paraId="421A29E7">
            <w:pPr>
              <w:spacing w:line="240" w:lineRule="exact"/>
              <w:jc w:val="center"/>
              <w:rPr>
                <w:rFonts w:hint="default" w:ascii="Times New Roman" w:hAnsi="Times New Roman" w:cs="Times New Roman"/>
                <w:sz w:val="21"/>
                <w:szCs w:val="21"/>
                <w:lang w:val="en-US" w:eastAsia="zh-CN"/>
              </w:rPr>
            </w:pPr>
          </w:p>
        </w:tc>
        <w:tc>
          <w:tcPr>
            <w:tcW w:w="3365" w:type="dxa"/>
            <w:shd w:val="clear" w:color="auto" w:fill="auto"/>
            <w:vAlign w:val="center"/>
          </w:tcPr>
          <w:p w14:paraId="325A35FC">
            <w:pPr>
              <w:pStyle w:val="19"/>
              <w:numPr>
                <w:ilvl w:val="3"/>
                <w:numId w:val="0"/>
              </w:numPr>
              <w:spacing w:line="240" w:lineRule="auto"/>
              <w:ind w:left="0" w:leftChars="0" w:firstLine="0" w:firstLineChars="0"/>
              <w:rPr>
                <w:rFonts w:hint="default" w:ascii="Times New Roman" w:hAnsi="Times New Roman" w:eastAsia="宋体" w:cs="Times New Roman"/>
                <w:sz w:val="21"/>
                <w:highlight w:val="none"/>
                <w:lang w:val="en-US" w:eastAsia="zh-CN" w:bidi="ar-SA"/>
              </w:rPr>
            </w:pPr>
            <w:r>
              <w:rPr>
                <w:rFonts w:hint="default" w:ascii="Times New Roman" w:hAnsi="Times New Roman" w:cs="Times New Roman"/>
                <w:highlight w:val="none"/>
              </w:rPr>
              <w:t>运输剧毒化学品的车辆和EX/Ⅱ型车辆、EX/Ⅲ型车辆应为罐式车辆或货厢为独立封闭厢体的车辆</w:t>
            </w:r>
            <w:r>
              <w:rPr>
                <w:rFonts w:hint="default" w:ascii="Times New Roman" w:hAnsi="Times New Roman" w:cs="Times New Roman"/>
                <w:highlight w:val="none"/>
                <w:lang w:eastAsia="zh-CN"/>
              </w:rPr>
              <w:t>。</w:t>
            </w:r>
          </w:p>
        </w:tc>
        <w:tc>
          <w:tcPr>
            <w:tcW w:w="3025" w:type="dxa"/>
          </w:tcPr>
          <w:p w14:paraId="2197D6C0">
            <w:pPr>
              <w:spacing w:line="240" w:lineRule="exact"/>
              <w:jc w:val="both"/>
              <w:rPr>
                <w:rFonts w:hint="default" w:ascii="Times New Roman" w:hAnsi="Times New Roman" w:eastAsia="宋体" w:cs="Times New Roman"/>
                <w:sz w:val="21"/>
                <w:szCs w:val="21"/>
                <w:lang w:val="en-US" w:eastAsia="zh-CN"/>
              </w:rPr>
            </w:pPr>
          </w:p>
        </w:tc>
        <w:tc>
          <w:tcPr>
            <w:tcW w:w="709" w:type="dxa"/>
            <w:gridSpan w:val="2"/>
          </w:tcPr>
          <w:p w14:paraId="323F6E19">
            <w:pPr>
              <w:spacing w:line="240" w:lineRule="exact"/>
              <w:jc w:val="center"/>
              <w:rPr>
                <w:rFonts w:hint="eastAsia" w:ascii="Times New Roman" w:hAnsi="Times New Roman" w:eastAsia="宋体" w:cs="Times New Roman"/>
                <w:sz w:val="21"/>
                <w:szCs w:val="21"/>
                <w:lang w:val="en-US" w:eastAsia="zh-CN"/>
              </w:rPr>
            </w:pPr>
          </w:p>
        </w:tc>
        <w:tc>
          <w:tcPr>
            <w:tcW w:w="709" w:type="dxa"/>
            <w:gridSpan w:val="2"/>
          </w:tcPr>
          <w:p w14:paraId="0FDF2848">
            <w:pPr>
              <w:spacing w:line="240" w:lineRule="exact"/>
              <w:jc w:val="center"/>
              <w:rPr>
                <w:rFonts w:hint="eastAsia" w:ascii="Times New Roman" w:hAnsi="Times New Roman" w:eastAsia="宋体" w:cs="Times New Roman"/>
                <w:sz w:val="21"/>
                <w:szCs w:val="21"/>
                <w:lang w:val="en-US" w:eastAsia="zh-CN"/>
              </w:rPr>
            </w:pPr>
          </w:p>
        </w:tc>
      </w:tr>
      <w:tr w14:paraId="200A5B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1681" w:hRule="atLeast"/>
        </w:trPr>
        <w:tc>
          <w:tcPr>
            <w:tcW w:w="345" w:type="dxa"/>
            <w:tcBorders>
              <w:top w:val="single" w:color="auto" w:sz="4" w:space="0"/>
              <w:left w:val="single" w:color="auto" w:sz="4" w:space="0"/>
              <w:right w:val="single" w:color="auto" w:sz="4" w:space="0"/>
            </w:tcBorders>
            <w:vAlign w:val="center"/>
          </w:tcPr>
          <w:p w14:paraId="3C71ACBB">
            <w:pPr>
              <w:spacing w:line="240" w:lineRule="exact"/>
              <w:jc w:val="center"/>
              <w:rPr>
                <w:rFonts w:hint="default" w:ascii="Times New Roman" w:hAnsi="Times New Roman" w:cs="Times New Roman"/>
                <w:sz w:val="21"/>
                <w:szCs w:val="21"/>
              </w:rPr>
            </w:pPr>
            <w:r>
              <w:rPr>
                <w:rFonts w:hint="eastAsia" w:cs="Times New Roman"/>
                <w:sz w:val="21"/>
                <w:szCs w:val="21"/>
                <w:lang w:val="en-US" w:eastAsia="zh-CN"/>
              </w:rPr>
              <w:t>5</w:t>
            </w:r>
          </w:p>
        </w:tc>
        <w:tc>
          <w:tcPr>
            <w:tcW w:w="528" w:type="dxa"/>
            <w:gridSpan w:val="2"/>
            <w:tcBorders>
              <w:left w:val="single" w:color="auto" w:sz="4" w:space="0"/>
              <w:right w:val="single" w:color="auto" w:sz="6" w:space="0"/>
            </w:tcBorders>
            <w:vAlign w:val="center"/>
          </w:tcPr>
          <w:p w14:paraId="0E6D030D">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安全附件</w:t>
            </w:r>
          </w:p>
        </w:tc>
        <w:tc>
          <w:tcPr>
            <w:tcW w:w="3365" w:type="dxa"/>
            <w:shd w:val="clear" w:color="auto" w:fill="auto"/>
            <w:vAlign w:val="center"/>
          </w:tcPr>
          <w:p w14:paraId="748616AE">
            <w:pPr>
              <w:pStyle w:val="19"/>
              <w:numPr>
                <w:ilvl w:val="3"/>
                <w:numId w:val="0"/>
              </w:numPr>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sz w:val="21"/>
                <w:szCs w:val="21"/>
                <w:highlight w:val="none"/>
              </w:rPr>
              <w:t>危险货物运输车辆应配备用于存放随车人员防护用品和应急救援器材的固定装置，并在装置外易见部位设置能永久保持的标识</w:t>
            </w:r>
            <w:r>
              <w:rPr>
                <w:rFonts w:hint="default" w:ascii="Times New Roman" w:hAnsi="Times New Roman" w:cs="Times New Roman"/>
                <w:sz w:val="21"/>
                <w:szCs w:val="21"/>
                <w:highlight w:val="none"/>
                <w:lang w:eastAsia="zh-CN"/>
              </w:rPr>
              <w:t>。</w:t>
            </w:r>
          </w:p>
        </w:tc>
        <w:tc>
          <w:tcPr>
            <w:tcW w:w="3025" w:type="dxa"/>
          </w:tcPr>
          <w:p w14:paraId="2343FD73">
            <w:pPr>
              <w:spacing w:line="240" w:lineRule="exact"/>
              <w:jc w:val="both"/>
              <w:rPr>
                <w:rFonts w:hint="default" w:ascii="Times New Roman" w:hAnsi="Times New Roman" w:eastAsia="宋体" w:cs="Times New Roman"/>
                <w:sz w:val="21"/>
                <w:szCs w:val="21"/>
                <w:lang w:val="en-US" w:eastAsia="zh-CN"/>
              </w:rPr>
            </w:pPr>
          </w:p>
        </w:tc>
        <w:tc>
          <w:tcPr>
            <w:tcW w:w="709" w:type="dxa"/>
            <w:gridSpan w:val="2"/>
          </w:tcPr>
          <w:p w14:paraId="2FA4BA17">
            <w:pPr>
              <w:spacing w:line="240" w:lineRule="exact"/>
              <w:jc w:val="center"/>
              <w:rPr>
                <w:rFonts w:hint="eastAsia" w:ascii="Times New Roman" w:hAnsi="Times New Roman" w:eastAsia="宋体" w:cs="Times New Roman"/>
                <w:sz w:val="21"/>
                <w:szCs w:val="21"/>
                <w:lang w:val="en-US" w:eastAsia="zh-CN"/>
              </w:rPr>
            </w:pPr>
          </w:p>
        </w:tc>
        <w:tc>
          <w:tcPr>
            <w:tcW w:w="709" w:type="dxa"/>
            <w:gridSpan w:val="2"/>
          </w:tcPr>
          <w:p w14:paraId="7D053767">
            <w:pPr>
              <w:spacing w:line="240" w:lineRule="exact"/>
              <w:jc w:val="center"/>
              <w:rPr>
                <w:rFonts w:hint="eastAsia" w:ascii="Times New Roman" w:hAnsi="Times New Roman" w:eastAsia="宋体" w:cs="Times New Roman"/>
                <w:sz w:val="21"/>
                <w:szCs w:val="21"/>
                <w:lang w:val="en-US" w:eastAsia="zh-CN"/>
              </w:rPr>
            </w:pPr>
          </w:p>
        </w:tc>
      </w:tr>
      <w:tr w14:paraId="4B49D7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9" w:type="dxa"/>
          <w:cantSplit/>
          <w:trHeight w:val="2926" w:hRule="atLeast"/>
        </w:trPr>
        <w:tc>
          <w:tcPr>
            <w:tcW w:w="345" w:type="dxa"/>
            <w:tcBorders>
              <w:left w:val="single" w:color="auto" w:sz="4" w:space="0"/>
              <w:bottom w:val="single" w:color="auto" w:sz="4" w:space="0"/>
              <w:right w:val="single" w:color="auto" w:sz="4" w:space="0"/>
            </w:tcBorders>
            <w:vAlign w:val="center"/>
          </w:tcPr>
          <w:p w14:paraId="1C857A13">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w:t>
            </w:r>
          </w:p>
        </w:tc>
        <w:tc>
          <w:tcPr>
            <w:tcW w:w="291" w:type="dxa"/>
            <w:vMerge w:val="restart"/>
            <w:tcBorders>
              <w:left w:val="single" w:color="auto" w:sz="4" w:space="0"/>
              <w:right w:val="single" w:color="auto" w:sz="4" w:space="0"/>
            </w:tcBorders>
            <w:vAlign w:val="center"/>
          </w:tcPr>
          <w:p w14:paraId="5784D577">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电气装置</w:t>
            </w:r>
          </w:p>
        </w:tc>
        <w:tc>
          <w:tcPr>
            <w:tcW w:w="237" w:type="dxa"/>
            <w:vMerge w:val="restart"/>
            <w:tcBorders>
              <w:left w:val="single" w:color="auto" w:sz="4" w:space="0"/>
              <w:right w:val="single" w:color="auto" w:sz="6" w:space="0"/>
            </w:tcBorders>
            <w:vAlign w:val="center"/>
          </w:tcPr>
          <w:p w14:paraId="5920A229">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电缆和照明装</w:t>
            </w:r>
            <w:r>
              <w:rPr>
                <w:rFonts w:hint="eastAsia" w:cs="Times New Roman"/>
                <w:sz w:val="21"/>
                <w:szCs w:val="21"/>
                <w:lang w:val="en-US" w:eastAsia="zh-CN"/>
              </w:rPr>
              <w:t>置</w:t>
            </w:r>
          </w:p>
        </w:tc>
        <w:tc>
          <w:tcPr>
            <w:tcW w:w="3365" w:type="dxa"/>
            <w:shd w:val="clear" w:color="auto" w:fill="auto"/>
            <w:vAlign w:val="center"/>
          </w:tcPr>
          <w:p w14:paraId="3A164D29">
            <w:pPr>
              <w:pStyle w:val="19"/>
              <w:numPr>
                <w:ilvl w:val="3"/>
                <w:numId w:val="0"/>
              </w:numPr>
              <w:spacing w:line="240" w:lineRule="auto"/>
              <w:ind w:left="0" w:leftChars="0" w:firstLine="0" w:firstLineChars="0"/>
              <w:rPr>
                <w:rFonts w:hint="default" w:ascii="Times New Roman" w:hAnsi="Times New Roman" w:cs="Times New Roman"/>
                <w:sz w:val="21"/>
                <w:szCs w:val="21"/>
                <w:highlight w:val="none"/>
              </w:rPr>
            </w:pPr>
            <w:r>
              <w:rPr>
                <w:rFonts w:hint="default" w:ascii="Times New Roman" w:hAnsi="Times New Roman" w:cs="Times New Roman"/>
                <w:highlight w:val="none"/>
              </w:rPr>
              <w:t>危险货物运输车辆使用的电缆应根据工作电压的要求，符合GB/T 25085.3、GB/T 25085.4、ISO 19642-5: 2019 、ISO 19642-6: 2019、ISO 19642-7: 2019， ISO 19642-8: 2019， ISO 19642-9: 2019 和 ISO 19642-10: 2019的规定，横截面积应与其承载电流相匹配，且能够适用于其安装在车辆位置处的环境条件。</w:t>
            </w:r>
          </w:p>
        </w:tc>
        <w:tc>
          <w:tcPr>
            <w:tcW w:w="3025" w:type="dxa"/>
          </w:tcPr>
          <w:p w14:paraId="24473C53">
            <w:pPr>
              <w:spacing w:line="240" w:lineRule="exact"/>
              <w:jc w:val="both"/>
              <w:rPr>
                <w:rFonts w:hint="default" w:ascii="Times New Roman" w:hAnsi="Times New Roman" w:eastAsia="宋体" w:cs="Times New Roman"/>
                <w:sz w:val="21"/>
                <w:szCs w:val="21"/>
                <w:lang w:val="en-US" w:eastAsia="zh-CN"/>
              </w:rPr>
            </w:pPr>
          </w:p>
        </w:tc>
        <w:tc>
          <w:tcPr>
            <w:tcW w:w="709" w:type="dxa"/>
            <w:gridSpan w:val="2"/>
          </w:tcPr>
          <w:p w14:paraId="7EBF2DAB">
            <w:pPr>
              <w:spacing w:line="240" w:lineRule="exact"/>
              <w:jc w:val="center"/>
              <w:rPr>
                <w:rFonts w:hint="eastAsia" w:ascii="Times New Roman" w:hAnsi="Times New Roman" w:eastAsia="宋体" w:cs="Times New Roman"/>
                <w:sz w:val="21"/>
                <w:szCs w:val="21"/>
                <w:lang w:val="en-US" w:eastAsia="zh-CN"/>
              </w:rPr>
            </w:pPr>
          </w:p>
        </w:tc>
        <w:tc>
          <w:tcPr>
            <w:tcW w:w="709" w:type="dxa"/>
            <w:gridSpan w:val="2"/>
          </w:tcPr>
          <w:p w14:paraId="341E83EA">
            <w:pPr>
              <w:spacing w:line="240" w:lineRule="exact"/>
              <w:jc w:val="center"/>
              <w:rPr>
                <w:rFonts w:hint="eastAsia" w:ascii="Times New Roman" w:hAnsi="Times New Roman" w:eastAsia="宋体" w:cs="Times New Roman"/>
                <w:sz w:val="21"/>
                <w:szCs w:val="21"/>
                <w:lang w:val="en-US" w:eastAsia="zh-CN"/>
              </w:rPr>
            </w:pPr>
          </w:p>
        </w:tc>
      </w:tr>
      <w:tr w14:paraId="526ED8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41" w:hRule="atLeast"/>
        </w:trPr>
        <w:tc>
          <w:tcPr>
            <w:tcW w:w="345" w:type="dxa"/>
            <w:tcBorders>
              <w:top w:val="single" w:color="auto" w:sz="4" w:space="0"/>
              <w:left w:val="single" w:color="auto" w:sz="4" w:space="0"/>
              <w:bottom w:val="single" w:color="auto" w:sz="4" w:space="0"/>
              <w:right w:val="single" w:color="auto" w:sz="4" w:space="0"/>
            </w:tcBorders>
            <w:vAlign w:val="center"/>
          </w:tcPr>
          <w:p w14:paraId="3AA598A3">
            <w:pPr>
              <w:spacing w:line="240" w:lineRule="exact"/>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7</w:t>
            </w:r>
          </w:p>
        </w:tc>
        <w:tc>
          <w:tcPr>
            <w:tcW w:w="291" w:type="dxa"/>
            <w:vMerge w:val="continue"/>
            <w:tcBorders>
              <w:left w:val="single" w:color="auto" w:sz="4" w:space="0"/>
              <w:right w:val="single" w:color="auto" w:sz="4" w:space="0"/>
            </w:tcBorders>
            <w:vAlign w:val="center"/>
          </w:tcPr>
          <w:p w14:paraId="0E8379DA">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BF13C15">
            <w:pPr>
              <w:spacing w:line="240" w:lineRule="exact"/>
              <w:jc w:val="center"/>
              <w:rPr>
                <w:rFonts w:hint="default" w:ascii="Times New Roman" w:hAnsi="Times New Roman" w:cs="Times New Roman"/>
                <w:sz w:val="21"/>
                <w:szCs w:val="21"/>
              </w:rPr>
            </w:pPr>
          </w:p>
        </w:tc>
        <w:tc>
          <w:tcPr>
            <w:tcW w:w="3365" w:type="dxa"/>
            <w:tcBorders>
              <w:top w:val="single" w:color="auto" w:sz="4" w:space="0"/>
              <w:left w:val="single" w:color="auto" w:sz="6" w:space="0"/>
              <w:bottom w:val="single" w:color="auto" w:sz="6" w:space="0"/>
              <w:right w:val="single" w:color="auto" w:sz="6" w:space="0"/>
            </w:tcBorders>
            <w:vAlign w:val="center"/>
          </w:tcPr>
          <w:p w14:paraId="7F56FF7B">
            <w:pPr>
              <w:pStyle w:val="19"/>
              <w:numPr>
                <w:ilvl w:val="3"/>
                <w:numId w:val="0"/>
              </w:numPr>
              <w:ind w:leftChars="0"/>
              <w:rPr>
                <w:rFonts w:hint="default" w:ascii="Times New Roman" w:hAnsi="Times New Roman" w:cs="Times New Roman"/>
                <w:sz w:val="21"/>
                <w:szCs w:val="21"/>
                <w:highlight w:val="none"/>
              </w:rPr>
            </w:pPr>
            <w:r>
              <w:rPr>
                <w:rFonts w:hint="default" w:ascii="Times New Roman" w:hAnsi="Times New Roman" w:cs="Times New Roman"/>
                <w:highlight w:val="none"/>
              </w:rPr>
              <w:t>电缆应布置合理并固定可靠，不应产生机械应力和热应力损伤。</w:t>
            </w:r>
          </w:p>
        </w:tc>
        <w:tc>
          <w:tcPr>
            <w:tcW w:w="3034" w:type="dxa"/>
            <w:gridSpan w:val="2"/>
            <w:tcBorders>
              <w:top w:val="single" w:color="auto" w:sz="4" w:space="0"/>
              <w:left w:val="single" w:color="auto" w:sz="6" w:space="0"/>
              <w:bottom w:val="single" w:color="auto" w:sz="6" w:space="0"/>
              <w:right w:val="single" w:color="auto" w:sz="6" w:space="0"/>
            </w:tcBorders>
            <w:vAlign w:val="center"/>
          </w:tcPr>
          <w:p w14:paraId="2B096D74">
            <w:pPr>
              <w:pStyle w:val="19"/>
              <w:numPr>
                <w:ilvl w:val="3"/>
                <w:numId w:val="0"/>
              </w:numPr>
              <w:ind w:left="0" w:leftChars="0" w:firstLine="0" w:firstLineChars="0"/>
              <w:jc w:val="both"/>
              <w:rPr>
                <w:rFonts w:hint="default" w:ascii="Times New Roman" w:hAnsi="Times New Roman" w:cs="Times New Roman"/>
                <w:sz w:val="21"/>
                <w:szCs w:val="21"/>
              </w:rPr>
            </w:pPr>
          </w:p>
        </w:tc>
        <w:tc>
          <w:tcPr>
            <w:tcW w:w="709" w:type="dxa"/>
            <w:gridSpan w:val="2"/>
            <w:tcBorders>
              <w:top w:val="single" w:color="auto" w:sz="4" w:space="0"/>
              <w:left w:val="single" w:color="auto" w:sz="6" w:space="0"/>
              <w:bottom w:val="single" w:color="auto" w:sz="6" w:space="0"/>
              <w:right w:val="single" w:color="auto" w:sz="4" w:space="0"/>
            </w:tcBorders>
            <w:vAlign w:val="center"/>
          </w:tcPr>
          <w:p w14:paraId="2A41234D">
            <w:pPr>
              <w:spacing w:line="240" w:lineRule="exact"/>
              <w:jc w:val="center"/>
              <w:rPr>
                <w:rFonts w:hint="default" w:ascii="Times New Roman" w:hAnsi="Times New Roman" w:cs="Times New Roman"/>
                <w:sz w:val="21"/>
                <w:szCs w:val="21"/>
              </w:rPr>
            </w:pPr>
          </w:p>
        </w:tc>
        <w:tc>
          <w:tcPr>
            <w:tcW w:w="709" w:type="dxa"/>
            <w:gridSpan w:val="2"/>
            <w:tcBorders>
              <w:top w:val="single" w:color="auto" w:sz="4" w:space="0"/>
              <w:left w:val="single" w:color="auto" w:sz="6" w:space="0"/>
              <w:bottom w:val="single" w:color="auto" w:sz="6" w:space="0"/>
              <w:right w:val="single" w:color="auto" w:sz="4" w:space="0"/>
            </w:tcBorders>
            <w:vAlign w:val="center"/>
          </w:tcPr>
          <w:p w14:paraId="7D5F00B5">
            <w:pPr>
              <w:spacing w:line="240" w:lineRule="exact"/>
              <w:jc w:val="center"/>
              <w:rPr>
                <w:rFonts w:hint="default" w:ascii="Times New Roman" w:hAnsi="Times New Roman" w:cs="Times New Roman"/>
                <w:sz w:val="21"/>
                <w:szCs w:val="21"/>
              </w:rPr>
            </w:pPr>
          </w:p>
        </w:tc>
      </w:tr>
      <w:tr w14:paraId="2E1E14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80" w:hRule="atLeast"/>
        </w:trPr>
        <w:tc>
          <w:tcPr>
            <w:tcW w:w="345" w:type="dxa"/>
            <w:tcBorders>
              <w:top w:val="single" w:color="auto" w:sz="4" w:space="0"/>
              <w:left w:val="single" w:color="auto" w:sz="4" w:space="0"/>
              <w:bottom w:val="single" w:color="auto" w:sz="4" w:space="0"/>
              <w:right w:val="single" w:color="auto" w:sz="4" w:space="0"/>
            </w:tcBorders>
            <w:vAlign w:val="center"/>
          </w:tcPr>
          <w:p w14:paraId="0F481270">
            <w:pPr>
              <w:spacing w:line="240" w:lineRule="exact"/>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8</w:t>
            </w:r>
          </w:p>
        </w:tc>
        <w:tc>
          <w:tcPr>
            <w:tcW w:w="291" w:type="dxa"/>
            <w:vMerge w:val="continue"/>
            <w:tcBorders>
              <w:left w:val="single" w:color="auto" w:sz="4" w:space="0"/>
              <w:right w:val="single" w:color="auto" w:sz="4" w:space="0"/>
            </w:tcBorders>
            <w:vAlign w:val="center"/>
          </w:tcPr>
          <w:p w14:paraId="0CB709CE">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5564868D">
            <w:pPr>
              <w:spacing w:line="240" w:lineRule="exact"/>
              <w:jc w:val="center"/>
              <w:rPr>
                <w:rFonts w:hint="default" w:ascii="Times New Roman" w:hAnsi="Times New Roman" w:cs="Times New Roman"/>
                <w:sz w:val="21"/>
                <w:szCs w:val="21"/>
              </w:rPr>
            </w:pPr>
          </w:p>
        </w:tc>
        <w:tc>
          <w:tcPr>
            <w:tcW w:w="3365" w:type="dxa"/>
            <w:tcBorders>
              <w:top w:val="single" w:color="auto" w:sz="4" w:space="0"/>
              <w:left w:val="single" w:color="auto" w:sz="6" w:space="0"/>
              <w:bottom w:val="single" w:color="auto" w:sz="6" w:space="0"/>
              <w:right w:val="single" w:color="auto" w:sz="6" w:space="0"/>
            </w:tcBorders>
            <w:vAlign w:val="center"/>
          </w:tcPr>
          <w:p w14:paraId="7865BAAC">
            <w:pPr>
              <w:pStyle w:val="19"/>
              <w:numPr>
                <w:ilvl w:val="3"/>
                <w:numId w:val="0"/>
              </w:numPr>
              <w:ind w:left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位于牵引车辆和挂车之间的电缆，应有防冲击、防变形、防腐蚀及防磨损的保护措施。</w:t>
            </w:r>
          </w:p>
          <w:p w14:paraId="31CB8BCE">
            <w:pPr>
              <w:widowControl/>
              <w:spacing w:line="240" w:lineRule="exact"/>
              <w:rPr>
                <w:rFonts w:hint="default" w:ascii="Times New Roman" w:hAnsi="Times New Roman" w:cs="Times New Roman"/>
                <w:sz w:val="21"/>
                <w:szCs w:val="21"/>
                <w:highlight w:val="none"/>
              </w:rPr>
            </w:pPr>
          </w:p>
        </w:tc>
        <w:tc>
          <w:tcPr>
            <w:tcW w:w="3034" w:type="dxa"/>
            <w:gridSpan w:val="2"/>
            <w:tcBorders>
              <w:top w:val="single" w:color="auto" w:sz="4" w:space="0"/>
              <w:left w:val="single" w:color="auto" w:sz="6" w:space="0"/>
              <w:bottom w:val="single" w:color="auto" w:sz="6" w:space="0"/>
              <w:right w:val="single" w:color="auto" w:sz="6" w:space="0"/>
            </w:tcBorders>
            <w:vAlign w:val="center"/>
          </w:tcPr>
          <w:p w14:paraId="400DD430">
            <w:pPr>
              <w:spacing w:line="240" w:lineRule="exact"/>
              <w:rPr>
                <w:rFonts w:hint="default" w:ascii="Times New Roman" w:hAnsi="Times New Roman" w:eastAsia="宋体" w:cs="Times New Roman"/>
                <w:sz w:val="21"/>
                <w:szCs w:val="21"/>
                <w:lang w:val="en-US" w:eastAsia="zh-CN"/>
              </w:rPr>
            </w:pPr>
          </w:p>
        </w:tc>
        <w:tc>
          <w:tcPr>
            <w:tcW w:w="709" w:type="dxa"/>
            <w:gridSpan w:val="2"/>
            <w:tcBorders>
              <w:top w:val="single" w:color="auto" w:sz="4" w:space="0"/>
              <w:left w:val="single" w:color="auto" w:sz="6" w:space="0"/>
              <w:bottom w:val="single" w:color="auto" w:sz="6" w:space="0"/>
              <w:right w:val="single" w:color="auto" w:sz="4" w:space="0"/>
            </w:tcBorders>
            <w:vAlign w:val="center"/>
          </w:tcPr>
          <w:p w14:paraId="74D26BFC">
            <w:pPr>
              <w:spacing w:line="240" w:lineRule="exact"/>
              <w:jc w:val="center"/>
              <w:rPr>
                <w:rFonts w:hint="default" w:ascii="Times New Roman" w:hAnsi="Times New Roman" w:cs="Times New Roman"/>
                <w:sz w:val="21"/>
                <w:szCs w:val="21"/>
              </w:rPr>
            </w:pPr>
          </w:p>
        </w:tc>
        <w:tc>
          <w:tcPr>
            <w:tcW w:w="709" w:type="dxa"/>
            <w:gridSpan w:val="2"/>
            <w:tcBorders>
              <w:top w:val="single" w:color="auto" w:sz="4" w:space="0"/>
              <w:left w:val="single" w:color="auto" w:sz="6" w:space="0"/>
              <w:bottom w:val="single" w:color="auto" w:sz="6" w:space="0"/>
              <w:right w:val="single" w:color="auto" w:sz="4" w:space="0"/>
            </w:tcBorders>
            <w:vAlign w:val="center"/>
          </w:tcPr>
          <w:p w14:paraId="795CC52D">
            <w:pPr>
              <w:spacing w:line="240" w:lineRule="exact"/>
              <w:jc w:val="center"/>
              <w:rPr>
                <w:rFonts w:hint="default" w:ascii="Times New Roman" w:hAnsi="Times New Roman" w:cs="Times New Roman"/>
                <w:sz w:val="21"/>
                <w:szCs w:val="21"/>
              </w:rPr>
            </w:pPr>
          </w:p>
        </w:tc>
      </w:tr>
    </w:tbl>
    <w:p w14:paraId="22BFFC0E"/>
    <w:p w14:paraId="0B2CCB81"/>
    <w:p w14:paraId="3CB0414C"/>
    <w:p w14:paraId="08E980A9"/>
    <w:p w14:paraId="6784D341"/>
    <w:p w14:paraId="12EAA3A1"/>
    <w:p w14:paraId="098B4252">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8690"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91"/>
        <w:gridCol w:w="237"/>
        <w:gridCol w:w="3372"/>
        <w:gridCol w:w="3027"/>
        <w:gridCol w:w="709"/>
        <w:gridCol w:w="709"/>
      </w:tblGrid>
      <w:tr w14:paraId="23638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19" w:hRule="atLeast"/>
        </w:trPr>
        <w:tc>
          <w:tcPr>
            <w:tcW w:w="345" w:type="dxa"/>
            <w:tcBorders>
              <w:left w:val="single" w:color="auto" w:sz="4" w:space="0"/>
              <w:right w:val="single" w:color="auto" w:sz="4" w:space="0"/>
            </w:tcBorders>
            <w:vAlign w:val="center"/>
          </w:tcPr>
          <w:p w14:paraId="01AE2C01">
            <w:pPr>
              <w:spacing w:line="240" w:lineRule="exact"/>
              <w:jc w:val="center"/>
              <w:rPr>
                <w:rFonts w:hint="eastAsia" w:cs="Times New Roman"/>
                <w:sz w:val="21"/>
                <w:szCs w:val="21"/>
                <w:lang w:val="en-US" w:eastAsia="zh-CN"/>
              </w:rPr>
            </w:pPr>
            <w:r>
              <w:rPr>
                <w:rFonts w:hint="default" w:ascii="Times New Roman" w:hAnsi="Times New Roman" w:cs="Times New Roman"/>
                <w:sz w:val="21"/>
                <w:szCs w:val="21"/>
              </w:rPr>
              <w:t>序号</w:t>
            </w:r>
          </w:p>
        </w:tc>
        <w:tc>
          <w:tcPr>
            <w:tcW w:w="528" w:type="dxa"/>
            <w:gridSpan w:val="2"/>
            <w:tcBorders>
              <w:left w:val="single" w:color="auto" w:sz="4" w:space="0"/>
              <w:right w:val="single" w:color="auto" w:sz="6" w:space="0"/>
            </w:tcBorders>
            <w:vAlign w:val="center"/>
          </w:tcPr>
          <w:p w14:paraId="0EDC2D84">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检验项目</w:t>
            </w:r>
          </w:p>
        </w:tc>
        <w:tc>
          <w:tcPr>
            <w:tcW w:w="3372" w:type="dxa"/>
            <w:tcBorders>
              <w:top w:val="single" w:color="auto" w:sz="4" w:space="0"/>
              <w:left w:val="single" w:color="auto" w:sz="6" w:space="0"/>
              <w:bottom w:val="single" w:color="auto" w:sz="4" w:space="0"/>
              <w:right w:val="single" w:color="auto" w:sz="6" w:space="0"/>
            </w:tcBorders>
            <w:vAlign w:val="center"/>
          </w:tcPr>
          <w:p w14:paraId="48D85A23">
            <w:pPr>
              <w:widowControl/>
              <w:spacing w:line="240" w:lineRule="exact"/>
              <w:jc w:val="center"/>
              <w:rPr>
                <w:rFonts w:hint="default" w:ascii="Times New Roman" w:hAnsi="Times New Roman" w:cs="Times New Roman"/>
                <w:highlight w:val="yellow"/>
              </w:rPr>
            </w:pPr>
            <w:r>
              <w:rPr>
                <w:rFonts w:hint="default" w:ascii="Times New Roman" w:hAnsi="Times New Roman" w:cs="Times New Roman"/>
                <w:sz w:val="21"/>
                <w:szCs w:val="21"/>
              </w:rPr>
              <w:t>标  准  要  求</w:t>
            </w:r>
          </w:p>
        </w:tc>
        <w:tc>
          <w:tcPr>
            <w:tcW w:w="3027" w:type="dxa"/>
            <w:tcBorders>
              <w:top w:val="single" w:color="auto" w:sz="4" w:space="0"/>
              <w:left w:val="single" w:color="auto" w:sz="6" w:space="0"/>
              <w:bottom w:val="single" w:color="auto" w:sz="4" w:space="0"/>
              <w:right w:val="single" w:color="auto" w:sz="6" w:space="0"/>
            </w:tcBorders>
            <w:vAlign w:val="center"/>
          </w:tcPr>
          <w:p w14:paraId="764BB099">
            <w:pPr>
              <w:spacing w:line="240" w:lineRule="exact"/>
              <w:jc w:val="center"/>
              <w:rPr>
                <w:rFonts w:hint="default" w:ascii="Times New Roman" w:hAnsi="Times New Roman" w:eastAsia="宋体" w:cs="Times New Roman"/>
                <w:sz w:val="21"/>
                <w:szCs w:val="21"/>
                <w:u w:val="single"/>
                <w:lang w:val="en-US" w:eastAsia="zh-CN"/>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4" w:space="0"/>
              <w:right w:val="single" w:color="auto" w:sz="4" w:space="0"/>
            </w:tcBorders>
            <w:vAlign w:val="center"/>
          </w:tcPr>
          <w:p w14:paraId="07934EED">
            <w:pPr>
              <w:spacing w:line="240" w:lineRule="exact"/>
              <w:jc w:val="center"/>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4" w:space="0"/>
              <w:right w:val="single" w:color="auto" w:sz="4" w:space="0"/>
            </w:tcBorders>
            <w:vAlign w:val="center"/>
          </w:tcPr>
          <w:p w14:paraId="1C879434">
            <w:pPr>
              <w:spacing w:line="240" w:lineRule="exact"/>
              <w:jc w:val="center"/>
              <w:rPr>
                <w:rFonts w:hint="eastAsia" w:ascii="Times New Roman" w:hAnsi="Times New Roman" w:eastAsia="宋体" w:cs="Times New Roman"/>
                <w:sz w:val="21"/>
                <w:szCs w:val="21"/>
                <w:lang w:val="en-US" w:eastAsia="zh-CN"/>
              </w:rPr>
            </w:pPr>
            <w:r>
              <w:rPr>
                <w:rFonts w:ascii="宋体" w:hAnsi="宋体" w:cs="Arial"/>
                <w:color w:val="000000"/>
              </w:rPr>
              <w:t>备注</w:t>
            </w:r>
          </w:p>
        </w:tc>
      </w:tr>
      <w:tr w14:paraId="03830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36" w:hRule="atLeast"/>
        </w:trPr>
        <w:tc>
          <w:tcPr>
            <w:tcW w:w="345" w:type="dxa"/>
            <w:tcBorders>
              <w:left w:val="single" w:color="auto" w:sz="4" w:space="0"/>
              <w:bottom w:val="single" w:color="auto" w:sz="4" w:space="0"/>
              <w:right w:val="single" w:color="auto" w:sz="4" w:space="0"/>
            </w:tcBorders>
            <w:vAlign w:val="center"/>
          </w:tcPr>
          <w:p w14:paraId="39D3A3E0">
            <w:pPr>
              <w:spacing w:line="240" w:lineRule="exact"/>
              <w:jc w:val="center"/>
              <w:rPr>
                <w:rFonts w:hint="default" w:ascii="Times New Roman" w:hAnsi="Times New Roman" w:cs="Times New Roman"/>
                <w:sz w:val="21"/>
                <w:szCs w:val="21"/>
              </w:rPr>
            </w:pPr>
            <w:r>
              <w:rPr>
                <w:rFonts w:hint="eastAsia" w:cs="Times New Roman"/>
                <w:sz w:val="21"/>
                <w:szCs w:val="21"/>
                <w:lang w:val="en-US" w:eastAsia="zh-CN"/>
              </w:rPr>
              <w:t>9</w:t>
            </w:r>
          </w:p>
        </w:tc>
        <w:tc>
          <w:tcPr>
            <w:tcW w:w="291" w:type="dxa"/>
            <w:vMerge w:val="restart"/>
            <w:tcBorders>
              <w:left w:val="single" w:color="auto" w:sz="4" w:space="0"/>
              <w:right w:val="single" w:color="auto" w:sz="6" w:space="0"/>
            </w:tcBorders>
            <w:vAlign w:val="center"/>
          </w:tcPr>
          <w:p w14:paraId="1F37A04C">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电气装置</w:t>
            </w:r>
          </w:p>
        </w:tc>
        <w:tc>
          <w:tcPr>
            <w:tcW w:w="237" w:type="dxa"/>
            <w:vMerge w:val="restart"/>
            <w:tcBorders>
              <w:left w:val="single" w:color="auto" w:sz="4" w:space="0"/>
              <w:right w:val="single" w:color="auto" w:sz="6" w:space="0"/>
            </w:tcBorders>
            <w:vAlign w:val="center"/>
          </w:tcPr>
          <w:p w14:paraId="7BF5F237">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电缆和照明装</w:t>
            </w:r>
            <w:r>
              <w:rPr>
                <w:rFonts w:hint="eastAsia" w:cs="Times New Roman"/>
                <w:sz w:val="21"/>
                <w:szCs w:val="21"/>
                <w:lang w:val="en-US" w:eastAsia="zh-CN"/>
              </w:rPr>
              <w:t>置</w:t>
            </w:r>
          </w:p>
        </w:tc>
        <w:tc>
          <w:tcPr>
            <w:tcW w:w="3372" w:type="dxa"/>
            <w:tcBorders>
              <w:top w:val="single" w:color="auto" w:sz="4" w:space="0"/>
              <w:left w:val="single" w:color="auto" w:sz="6" w:space="0"/>
              <w:bottom w:val="single" w:color="auto" w:sz="4" w:space="0"/>
              <w:right w:val="single" w:color="auto" w:sz="6" w:space="0"/>
            </w:tcBorders>
            <w:shd w:val="clear" w:color="auto" w:fill="auto"/>
            <w:vAlign w:val="center"/>
          </w:tcPr>
          <w:p w14:paraId="5310DB3D">
            <w:pPr>
              <w:pStyle w:val="19"/>
              <w:numPr>
                <w:ilvl w:val="3"/>
                <w:numId w:val="0"/>
              </w:numPr>
              <w:ind w:leftChars="0"/>
              <w:rPr>
                <w:rFonts w:hint="default" w:ascii="Times New Roman" w:hAnsi="Times New Roman" w:cs="Times New Roman"/>
                <w:sz w:val="21"/>
                <w:szCs w:val="21"/>
                <w:highlight w:val="none"/>
              </w:rPr>
            </w:pPr>
            <w:r>
              <w:rPr>
                <w:rFonts w:hint="default" w:ascii="Times New Roman" w:hAnsi="Times New Roman" w:cs="Times New Roman"/>
                <w:highlight w:val="none"/>
              </w:rPr>
              <w:t>牵引车辆和挂车之间的电气接头应满足GB/T 4208规定的IP54防护等级的要求，且应具有防止意外断接的功能。</w:t>
            </w:r>
          </w:p>
        </w:tc>
        <w:tc>
          <w:tcPr>
            <w:tcW w:w="3027" w:type="dxa"/>
            <w:tcBorders>
              <w:top w:val="single" w:color="auto" w:sz="4" w:space="0"/>
              <w:left w:val="single" w:color="auto" w:sz="6" w:space="0"/>
              <w:bottom w:val="single" w:color="auto" w:sz="4" w:space="0"/>
              <w:right w:val="single" w:color="auto" w:sz="6" w:space="0"/>
            </w:tcBorders>
            <w:vAlign w:val="center"/>
          </w:tcPr>
          <w:p w14:paraId="3465297C">
            <w:pPr>
              <w:pStyle w:val="19"/>
              <w:numPr>
                <w:ilvl w:val="3"/>
                <w:numId w:val="0"/>
              </w:numPr>
              <w:ind w:left="0" w:leftChars="0" w:firstLine="0" w:firstLineChars="0"/>
              <w:rPr>
                <w:rFonts w:hint="default" w:ascii="Times New Roman" w:hAnsi="Times New Roman" w:eastAsia="宋体" w:cs="Times New Roman"/>
                <w:sz w:val="21"/>
                <w:szCs w:val="21"/>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60F867D">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F749F4C">
            <w:pPr>
              <w:spacing w:line="240" w:lineRule="exact"/>
              <w:jc w:val="center"/>
              <w:rPr>
                <w:rFonts w:hint="eastAsia" w:ascii="Times New Roman" w:hAnsi="Times New Roman" w:eastAsia="宋体" w:cs="Times New Roman"/>
                <w:sz w:val="21"/>
                <w:szCs w:val="21"/>
                <w:lang w:val="en-US" w:eastAsia="zh-CN"/>
              </w:rPr>
            </w:pPr>
          </w:p>
        </w:tc>
      </w:tr>
      <w:tr w14:paraId="3AB26F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5" w:hRule="atLeast"/>
        </w:trPr>
        <w:tc>
          <w:tcPr>
            <w:tcW w:w="345" w:type="dxa"/>
            <w:tcBorders>
              <w:top w:val="single" w:color="auto" w:sz="4" w:space="0"/>
              <w:left w:val="single" w:color="auto" w:sz="4" w:space="0"/>
              <w:bottom w:val="single" w:color="auto" w:sz="4" w:space="0"/>
              <w:right w:val="single" w:color="auto" w:sz="4" w:space="0"/>
            </w:tcBorders>
            <w:vAlign w:val="center"/>
          </w:tcPr>
          <w:p w14:paraId="59630BA9">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10</w:t>
            </w:r>
          </w:p>
        </w:tc>
        <w:tc>
          <w:tcPr>
            <w:tcW w:w="291" w:type="dxa"/>
            <w:vMerge w:val="continue"/>
            <w:tcBorders>
              <w:left w:val="single" w:color="auto" w:sz="4" w:space="0"/>
              <w:right w:val="single" w:color="auto" w:sz="6" w:space="0"/>
            </w:tcBorders>
            <w:vAlign w:val="center"/>
          </w:tcPr>
          <w:p w14:paraId="64BD0D66">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2FF24A22">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shd w:val="clear" w:color="auto" w:fill="auto"/>
            <w:vAlign w:val="center"/>
          </w:tcPr>
          <w:p w14:paraId="008A134B">
            <w:pPr>
              <w:pStyle w:val="19"/>
              <w:numPr>
                <w:ilvl w:val="3"/>
                <w:numId w:val="0"/>
              </w:numPr>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不应使用螺口灯泡作为照明光源</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39F9E294">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1946545">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9BE3008">
            <w:pPr>
              <w:spacing w:line="240" w:lineRule="exact"/>
              <w:jc w:val="center"/>
              <w:rPr>
                <w:rFonts w:hint="eastAsia" w:ascii="Times New Roman" w:hAnsi="Times New Roman" w:eastAsia="宋体" w:cs="Times New Roman"/>
                <w:sz w:val="21"/>
                <w:szCs w:val="21"/>
                <w:lang w:val="en-US" w:eastAsia="zh-CN"/>
              </w:rPr>
            </w:pPr>
          </w:p>
        </w:tc>
      </w:tr>
      <w:tr w14:paraId="1AB7B2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95" w:hRule="atLeast"/>
        </w:trPr>
        <w:tc>
          <w:tcPr>
            <w:tcW w:w="345" w:type="dxa"/>
            <w:tcBorders>
              <w:top w:val="single" w:color="auto" w:sz="4" w:space="0"/>
              <w:left w:val="single" w:color="auto" w:sz="4" w:space="0"/>
              <w:bottom w:val="single" w:color="auto" w:sz="4" w:space="0"/>
              <w:right w:val="single" w:color="auto" w:sz="4" w:space="0"/>
            </w:tcBorders>
            <w:vAlign w:val="center"/>
          </w:tcPr>
          <w:p w14:paraId="69056C61">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11</w:t>
            </w:r>
          </w:p>
        </w:tc>
        <w:tc>
          <w:tcPr>
            <w:tcW w:w="291" w:type="dxa"/>
            <w:vMerge w:val="continue"/>
            <w:tcBorders>
              <w:left w:val="single" w:color="auto" w:sz="4" w:space="0"/>
              <w:right w:val="single" w:color="auto" w:sz="6" w:space="0"/>
            </w:tcBorders>
            <w:vAlign w:val="center"/>
          </w:tcPr>
          <w:p w14:paraId="5492E8F3">
            <w:pPr>
              <w:spacing w:line="240" w:lineRule="exact"/>
              <w:jc w:val="center"/>
              <w:rPr>
                <w:rFonts w:hint="default" w:ascii="Times New Roman" w:hAnsi="Times New Roman" w:cs="Times New Roman"/>
                <w:sz w:val="21"/>
                <w:szCs w:val="21"/>
              </w:rPr>
            </w:pPr>
          </w:p>
        </w:tc>
        <w:tc>
          <w:tcPr>
            <w:tcW w:w="237" w:type="dxa"/>
            <w:vMerge w:val="restart"/>
            <w:tcBorders>
              <w:left w:val="single" w:color="auto" w:sz="4" w:space="0"/>
              <w:right w:val="single" w:color="auto" w:sz="6" w:space="0"/>
            </w:tcBorders>
            <w:vAlign w:val="center"/>
          </w:tcPr>
          <w:p w14:paraId="4747C76B">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电源总开关</w:t>
            </w:r>
          </w:p>
        </w:tc>
        <w:tc>
          <w:tcPr>
            <w:tcW w:w="3372" w:type="dxa"/>
            <w:tcBorders>
              <w:top w:val="single" w:color="auto" w:sz="4" w:space="0"/>
              <w:left w:val="single" w:color="auto" w:sz="6" w:space="0"/>
              <w:bottom w:val="single" w:color="auto" w:sz="4" w:space="0"/>
              <w:right w:val="single" w:color="auto" w:sz="6" w:space="0"/>
            </w:tcBorders>
            <w:shd w:val="clear" w:color="auto" w:fill="auto"/>
            <w:vAlign w:val="center"/>
          </w:tcPr>
          <w:p w14:paraId="293CE99F">
            <w:pPr>
              <w:pStyle w:val="19"/>
              <w:keepNext w:val="0"/>
              <w:keepLines w:val="0"/>
              <w:pageBreakBefore w:val="0"/>
              <w:numPr>
                <w:ilvl w:val="3"/>
                <w:numId w:val="0"/>
              </w:numPr>
              <w:kinsoku/>
              <w:wordWrap/>
              <w:overflowPunct/>
              <w:topLinePunct w:val="0"/>
              <w:autoSpaceDE/>
              <w:autoSpaceDN/>
              <w:bidi w:val="0"/>
              <w:snapToGrid/>
              <w:spacing w:line="240" w:lineRule="exact"/>
              <w:ind w:left="0" w:leftChars="0" w:firstLine="0" w:firstLineChars="0"/>
              <w:rPr>
                <w:rFonts w:hint="default" w:ascii="Times New Roman" w:hAnsi="Times New Roman" w:cs="Times New Roman"/>
                <w:highlight w:val="none"/>
              </w:rPr>
            </w:pPr>
            <w:r>
              <w:rPr>
                <w:rFonts w:hint="default" w:ascii="Times New Roman" w:hAnsi="Times New Roman" w:cs="Times New Roman"/>
                <w:sz w:val="21"/>
                <w:szCs w:val="21"/>
                <w:highlight w:val="none"/>
              </w:rPr>
              <w:t>电源总开关在开闭过程中不应产生短路或可外泄的电火花</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640F8655">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1827853">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8DB558E">
            <w:pPr>
              <w:spacing w:line="240" w:lineRule="exact"/>
              <w:jc w:val="center"/>
              <w:rPr>
                <w:rFonts w:hint="eastAsia" w:ascii="Times New Roman" w:hAnsi="Times New Roman" w:eastAsia="宋体" w:cs="Times New Roman"/>
                <w:sz w:val="21"/>
                <w:szCs w:val="21"/>
                <w:lang w:val="en-US" w:eastAsia="zh-CN"/>
              </w:rPr>
            </w:pPr>
          </w:p>
        </w:tc>
      </w:tr>
      <w:tr w14:paraId="3168FC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868" w:hRule="atLeast"/>
        </w:trPr>
        <w:tc>
          <w:tcPr>
            <w:tcW w:w="345" w:type="dxa"/>
            <w:tcBorders>
              <w:top w:val="single" w:color="auto" w:sz="4" w:space="0"/>
              <w:left w:val="single" w:color="auto" w:sz="4" w:space="0"/>
              <w:bottom w:val="single" w:color="auto" w:sz="4" w:space="0"/>
              <w:right w:val="single" w:color="auto" w:sz="4" w:space="0"/>
            </w:tcBorders>
            <w:vAlign w:val="center"/>
          </w:tcPr>
          <w:p w14:paraId="45439979">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12</w:t>
            </w:r>
          </w:p>
        </w:tc>
        <w:tc>
          <w:tcPr>
            <w:tcW w:w="291" w:type="dxa"/>
            <w:vMerge w:val="continue"/>
            <w:tcBorders>
              <w:left w:val="single" w:color="auto" w:sz="4" w:space="0"/>
              <w:right w:val="single" w:color="auto" w:sz="6" w:space="0"/>
            </w:tcBorders>
            <w:vAlign w:val="center"/>
          </w:tcPr>
          <w:p w14:paraId="003913A0">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1D6B0B9A">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shd w:val="clear" w:color="auto" w:fill="auto"/>
            <w:vAlign w:val="center"/>
          </w:tcPr>
          <w:p w14:paraId="70FE72DB">
            <w:pPr>
              <w:pStyle w:val="22"/>
              <w:keepNext w:val="0"/>
              <w:keepLines w:val="0"/>
              <w:pageBreakBefore w:val="0"/>
              <w:numPr>
                <w:ilvl w:val="4"/>
                <w:numId w:val="0"/>
              </w:numPr>
              <w:kinsoku/>
              <w:wordWrap/>
              <w:overflowPunct/>
              <w:topLinePunct w:val="0"/>
              <w:autoSpaceDE/>
              <w:autoSpaceDN/>
              <w:bidi w:val="0"/>
              <w:snapToGrid/>
              <w:spacing w:line="240" w:lineRule="exact"/>
              <w:ind w:left="0" w:leftChars="0" w:firstLine="0" w:firstLineChars="0"/>
              <w:rPr>
                <w:rFonts w:hint="default" w:ascii="Times New Roman" w:hAnsi="Times New Roman" w:cs="Times New Roman"/>
                <w:highlight w:val="none"/>
              </w:rPr>
            </w:pPr>
            <w:r>
              <w:rPr>
                <w:rFonts w:hint="default" w:ascii="Times New Roman" w:hAnsi="Times New Roman" w:cs="Times New Roman"/>
                <w:sz w:val="21"/>
                <w:szCs w:val="21"/>
                <w:highlight w:val="none"/>
              </w:rPr>
              <w:t>驾驶室内、外应分别各设置至少1个电源总开关控制装置。该控制装置应安装在易于操作的位置并设置清晰标记，并应设置能防止误操作的保护装置。控制装置启动后，开关应在10s内断开电路。驾驶室外的控制装置应至少具备关闭电源总开关的功能。</w:t>
            </w:r>
          </w:p>
        </w:tc>
        <w:tc>
          <w:tcPr>
            <w:tcW w:w="3027" w:type="dxa"/>
            <w:tcBorders>
              <w:top w:val="single" w:color="auto" w:sz="4" w:space="0"/>
              <w:left w:val="single" w:color="auto" w:sz="6" w:space="0"/>
              <w:bottom w:val="single" w:color="auto" w:sz="4" w:space="0"/>
              <w:right w:val="single" w:color="auto" w:sz="6" w:space="0"/>
            </w:tcBorders>
            <w:vAlign w:val="center"/>
          </w:tcPr>
          <w:p w14:paraId="4A2488BF">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345E691">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649B80D">
            <w:pPr>
              <w:spacing w:line="240" w:lineRule="exact"/>
              <w:jc w:val="center"/>
              <w:rPr>
                <w:rFonts w:hint="eastAsia" w:ascii="Times New Roman" w:hAnsi="Times New Roman" w:eastAsia="宋体" w:cs="Times New Roman"/>
                <w:sz w:val="21"/>
                <w:szCs w:val="21"/>
                <w:lang w:val="en-US" w:eastAsia="zh-CN"/>
              </w:rPr>
            </w:pPr>
          </w:p>
        </w:tc>
      </w:tr>
      <w:tr w14:paraId="776F68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7" w:hRule="atLeast"/>
        </w:trPr>
        <w:tc>
          <w:tcPr>
            <w:tcW w:w="345" w:type="dxa"/>
            <w:tcBorders>
              <w:top w:val="single" w:color="auto" w:sz="4" w:space="0"/>
              <w:left w:val="single" w:color="auto" w:sz="4" w:space="0"/>
              <w:bottom w:val="single" w:color="auto" w:sz="4" w:space="0"/>
              <w:right w:val="single" w:color="auto" w:sz="4" w:space="0"/>
            </w:tcBorders>
            <w:vAlign w:val="center"/>
          </w:tcPr>
          <w:p w14:paraId="1C0DF1D2">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13</w:t>
            </w:r>
          </w:p>
        </w:tc>
        <w:tc>
          <w:tcPr>
            <w:tcW w:w="291" w:type="dxa"/>
            <w:vMerge w:val="continue"/>
            <w:tcBorders>
              <w:left w:val="single" w:color="auto" w:sz="4" w:space="0"/>
              <w:right w:val="single" w:color="auto" w:sz="6" w:space="0"/>
            </w:tcBorders>
            <w:vAlign w:val="center"/>
          </w:tcPr>
          <w:p w14:paraId="477FF7FC">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5B73541F">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shd w:val="clear" w:color="auto" w:fill="auto"/>
            <w:vAlign w:val="center"/>
          </w:tcPr>
          <w:p w14:paraId="035ACE31">
            <w:pPr>
              <w:keepNext w:val="0"/>
              <w:keepLines w:val="0"/>
              <w:pageBreakBefore w:val="0"/>
              <w:widowControl/>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sz w:val="21"/>
                <w:szCs w:val="21"/>
                <w:highlight w:val="none"/>
              </w:rPr>
              <w:t>电源总开关应符合GB/T 4208规定的IP65防护等级的要求</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331709CB">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BAF585C">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BC26915">
            <w:pPr>
              <w:spacing w:line="240" w:lineRule="exact"/>
              <w:jc w:val="center"/>
              <w:rPr>
                <w:rFonts w:hint="eastAsia" w:ascii="Times New Roman" w:hAnsi="Times New Roman" w:eastAsia="宋体" w:cs="Times New Roman"/>
                <w:sz w:val="21"/>
                <w:szCs w:val="21"/>
                <w:lang w:val="en-US" w:eastAsia="zh-CN"/>
              </w:rPr>
            </w:pPr>
          </w:p>
        </w:tc>
      </w:tr>
      <w:tr w14:paraId="02FE9A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36" w:hRule="atLeast"/>
        </w:trPr>
        <w:tc>
          <w:tcPr>
            <w:tcW w:w="345" w:type="dxa"/>
            <w:tcBorders>
              <w:top w:val="single" w:color="auto" w:sz="4" w:space="0"/>
              <w:left w:val="single" w:color="auto" w:sz="4" w:space="0"/>
              <w:bottom w:val="single" w:color="auto" w:sz="4" w:space="0"/>
              <w:right w:val="single" w:color="auto" w:sz="4" w:space="0"/>
            </w:tcBorders>
            <w:vAlign w:val="center"/>
          </w:tcPr>
          <w:p w14:paraId="1DB94BED">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14</w:t>
            </w:r>
          </w:p>
        </w:tc>
        <w:tc>
          <w:tcPr>
            <w:tcW w:w="291" w:type="dxa"/>
            <w:vMerge w:val="continue"/>
            <w:tcBorders>
              <w:left w:val="single" w:color="auto" w:sz="4" w:space="0"/>
              <w:right w:val="single" w:color="auto" w:sz="6" w:space="0"/>
            </w:tcBorders>
            <w:vAlign w:val="center"/>
          </w:tcPr>
          <w:p w14:paraId="2BBBD28E">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5E51E7F5">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shd w:val="clear" w:color="auto" w:fill="auto"/>
            <w:vAlign w:val="center"/>
          </w:tcPr>
          <w:p w14:paraId="6316DDDD">
            <w:pPr>
              <w:pStyle w:val="19"/>
              <w:keepNext w:val="0"/>
              <w:keepLines w:val="0"/>
              <w:pageBreakBefore w:val="0"/>
              <w:numPr>
                <w:ilvl w:val="3"/>
                <w:numId w:val="0"/>
              </w:numPr>
              <w:kinsoku/>
              <w:wordWrap/>
              <w:overflowPunct/>
              <w:topLinePunct w:val="0"/>
              <w:autoSpaceDE/>
              <w:autoSpaceDN/>
              <w:bidi w:val="0"/>
              <w:snapToGrid/>
              <w:spacing w:line="240" w:lineRule="exact"/>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开关上的线束接头应符合GB/T 4208规定的IP54防护等级的要求。如这些接头设置在蓄电池箱内，则只需采取绝缘措施防止其短路</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80F264E">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CCA496D">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EBD4076">
            <w:pPr>
              <w:spacing w:line="240" w:lineRule="exact"/>
              <w:jc w:val="center"/>
              <w:rPr>
                <w:rFonts w:hint="eastAsia" w:ascii="Times New Roman" w:hAnsi="Times New Roman" w:eastAsia="宋体" w:cs="Times New Roman"/>
                <w:sz w:val="21"/>
                <w:szCs w:val="21"/>
                <w:lang w:val="en-US" w:eastAsia="zh-CN"/>
              </w:rPr>
            </w:pPr>
          </w:p>
        </w:tc>
      </w:tr>
      <w:tr w14:paraId="3D0355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36" w:hRule="atLeast"/>
        </w:trPr>
        <w:tc>
          <w:tcPr>
            <w:tcW w:w="345" w:type="dxa"/>
            <w:tcBorders>
              <w:top w:val="single" w:color="auto" w:sz="4" w:space="0"/>
              <w:left w:val="single" w:color="auto" w:sz="4" w:space="0"/>
              <w:bottom w:val="single" w:color="auto" w:sz="4" w:space="0"/>
              <w:right w:val="single" w:color="auto" w:sz="4" w:space="0"/>
            </w:tcBorders>
            <w:vAlign w:val="center"/>
          </w:tcPr>
          <w:p w14:paraId="0941C8EB">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15</w:t>
            </w:r>
          </w:p>
        </w:tc>
        <w:tc>
          <w:tcPr>
            <w:tcW w:w="291" w:type="dxa"/>
            <w:vMerge w:val="continue"/>
            <w:tcBorders>
              <w:left w:val="single" w:color="auto" w:sz="4" w:space="0"/>
              <w:right w:val="single" w:color="auto" w:sz="6" w:space="0"/>
            </w:tcBorders>
            <w:vAlign w:val="center"/>
          </w:tcPr>
          <w:p w14:paraId="1DBEA600">
            <w:pPr>
              <w:spacing w:line="240" w:lineRule="exact"/>
              <w:jc w:val="center"/>
              <w:rPr>
                <w:rFonts w:hint="default" w:ascii="Times New Roman" w:hAnsi="Times New Roman" w:cs="Times New Roman"/>
                <w:sz w:val="21"/>
                <w:szCs w:val="21"/>
              </w:rPr>
            </w:pPr>
          </w:p>
        </w:tc>
        <w:tc>
          <w:tcPr>
            <w:tcW w:w="237" w:type="dxa"/>
            <w:vMerge w:val="restart"/>
            <w:tcBorders>
              <w:left w:val="single" w:color="auto" w:sz="4" w:space="0"/>
              <w:right w:val="single" w:color="auto" w:sz="6" w:space="0"/>
            </w:tcBorders>
            <w:vAlign w:val="center"/>
          </w:tcPr>
          <w:p w14:paraId="0366D839">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蓄电池</w:t>
            </w:r>
          </w:p>
        </w:tc>
        <w:tc>
          <w:tcPr>
            <w:tcW w:w="3372" w:type="dxa"/>
            <w:tcBorders>
              <w:top w:val="single" w:color="auto" w:sz="4" w:space="0"/>
              <w:left w:val="single" w:color="auto" w:sz="6" w:space="0"/>
              <w:bottom w:val="single" w:color="auto" w:sz="4" w:space="0"/>
              <w:right w:val="single" w:color="auto" w:sz="6" w:space="0"/>
            </w:tcBorders>
            <w:vAlign w:val="center"/>
          </w:tcPr>
          <w:p w14:paraId="6690B60D">
            <w:pPr>
              <w:pStyle w:val="19"/>
              <w:keepNext w:val="0"/>
              <w:keepLines w:val="0"/>
              <w:pageBreakBefore w:val="0"/>
              <w:numPr>
                <w:ilvl w:val="3"/>
                <w:numId w:val="0"/>
              </w:numPr>
              <w:kinsoku/>
              <w:wordWrap/>
              <w:overflowPunct/>
              <w:topLinePunct w:val="0"/>
              <w:autoSpaceDE/>
              <w:autoSpaceDN/>
              <w:bidi w:val="0"/>
              <w:snapToGrid/>
              <w:spacing w:line="240" w:lineRule="exact"/>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蓄电池接线端子应采取可靠的绝缘保护措施或用绝缘的蓄电池箱盖住。蓄电池应置于开有通气孔的箱内，当安装在发动机罩下时除外</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D8693EF">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7BCAF43">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DB99F25">
            <w:pPr>
              <w:spacing w:line="240" w:lineRule="exact"/>
              <w:jc w:val="center"/>
              <w:rPr>
                <w:rFonts w:hint="eastAsia" w:ascii="Times New Roman" w:hAnsi="Times New Roman" w:eastAsia="宋体" w:cs="Times New Roman"/>
                <w:sz w:val="21"/>
                <w:szCs w:val="21"/>
                <w:lang w:val="en-US" w:eastAsia="zh-CN"/>
              </w:rPr>
            </w:pPr>
          </w:p>
        </w:tc>
      </w:tr>
      <w:tr w14:paraId="4ACC87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88" w:hRule="atLeast"/>
        </w:trPr>
        <w:tc>
          <w:tcPr>
            <w:tcW w:w="345" w:type="dxa"/>
            <w:tcBorders>
              <w:top w:val="single" w:color="auto" w:sz="4" w:space="0"/>
              <w:left w:val="single" w:color="auto" w:sz="4" w:space="0"/>
              <w:bottom w:val="single" w:color="auto" w:sz="4" w:space="0"/>
              <w:right w:val="single" w:color="auto" w:sz="4" w:space="0"/>
            </w:tcBorders>
            <w:vAlign w:val="center"/>
          </w:tcPr>
          <w:p w14:paraId="623F774A">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16</w:t>
            </w:r>
          </w:p>
        </w:tc>
        <w:tc>
          <w:tcPr>
            <w:tcW w:w="291" w:type="dxa"/>
            <w:vMerge w:val="continue"/>
            <w:tcBorders>
              <w:left w:val="single" w:color="auto" w:sz="4" w:space="0"/>
              <w:right w:val="single" w:color="auto" w:sz="6" w:space="0"/>
            </w:tcBorders>
            <w:vAlign w:val="center"/>
          </w:tcPr>
          <w:p w14:paraId="433F6EC8">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6302742A">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6" w:space="0"/>
              <w:right w:val="single" w:color="auto" w:sz="6" w:space="0"/>
            </w:tcBorders>
            <w:vAlign w:val="center"/>
          </w:tcPr>
          <w:p w14:paraId="44ADFD68">
            <w:pPr>
              <w:pStyle w:val="19"/>
              <w:keepNext w:val="0"/>
              <w:keepLines w:val="0"/>
              <w:pageBreakBefore w:val="0"/>
              <w:numPr>
                <w:ilvl w:val="3"/>
                <w:numId w:val="0"/>
              </w:numPr>
              <w:kinsoku/>
              <w:wordWrap/>
              <w:overflowPunct/>
              <w:topLinePunct w:val="0"/>
              <w:autoSpaceDE/>
              <w:autoSpaceDN/>
              <w:bidi w:val="0"/>
              <w:snapToGrid/>
              <w:spacing w:line="240" w:lineRule="exact"/>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起动用铅酸蓄电池应满足GB/T 5008.1的要求。采用其他材料的起动用蓄电池时应有过热保护措施</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6" w:space="0"/>
              <w:right w:val="single" w:color="auto" w:sz="6" w:space="0"/>
            </w:tcBorders>
            <w:vAlign w:val="center"/>
          </w:tcPr>
          <w:p w14:paraId="1ED36886">
            <w:pPr>
              <w:pStyle w:val="19"/>
              <w:numPr>
                <w:ilvl w:val="3"/>
                <w:numId w:val="0"/>
              </w:numPr>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6" w:space="0"/>
              <w:right w:val="single" w:color="auto" w:sz="4" w:space="0"/>
            </w:tcBorders>
            <w:vAlign w:val="center"/>
          </w:tcPr>
          <w:p w14:paraId="39469683">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6" w:space="0"/>
              <w:right w:val="single" w:color="auto" w:sz="4" w:space="0"/>
            </w:tcBorders>
            <w:vAlign w:val="center"/>
          </w:tcPr>
          <w:p w14:paraId="0509ED92">
            <w:pPr>
              <w:spacing w:line="240" w:lineRule="exact"/>
              <w:jc w:val="center"/>
              <w:rPr>
                <w:rFonts w:hint="eastAsia" w:ascii="Times New Roman" w:hAnsi="Times New Roman" w:eastAsia="宋体" w:cs="Times New Roman"/>
                <w:sz w:val="21"/>
                <w:szCs w:val="21"/>
                <w:lang w:val="en-US" w:eastAsia="zh-CN"/>
              </w:rPr>
            </w:pPr>
          </w:p>
        </w:tc>
      </w:tr>
      <w:tr w14:paraId="3967C9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77" w:hRule="atLeast"/>
        </w:trPr>
        <w:tc>
          <w:tcPr>
            <w:tcW w:w="345" w:type="dxa"/>
            <w:tcBorders>
              <w:top w:val="single" w:color="auto" w:sz="4" w:space="0"/>
              <w:left w:val="single" w:color="auto" w:sz="4" w:space="0"/>
              <w:bottom w:val="single" w:color="auto" w:sz="4" w:space="0"/>
              <w:right w:val="single" w:color="auto" w:sz="4" w:space="0"/>
            </w:tcBorders>
            <w:vAlign w:val="center"/>
          </w:tcPr>
          <w:p w14:paraId="7F2C5728">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17</w:t>
            </w:r>
          </w:p>
        </w:tc>
        <w:tc>
          <w:tcPr>
            <w:tcW w:w="291" w:type="dxa"/>
            <w:vMerge w:val="continue"/>
            <w:tcBorders>
              <w:left w:val="single" w:color="auto" w:sz="4" w:space="0"/>
              <w:right w:val="single" w:color="auto" w:sz="6" w:space="0"/>
            </w:tcBorders>
            <w:vAlign w:val="center"/>
          </w:tcPr>
          <w:p w14:paraId="67DE2037">
            <w:pPr>
              <w:spacing w:line="240" w:lineRule="exact"/>
              <w:jc w:val="center"/>
              <w:rPr>
                <w:rFonts w:hint="default" w:ascii="Times New Roman" w:hAnsi="Times New Roman" w:cs="Times New Roman"/>
                <w:sz w:val="21"/>
                <w:szCs w:val="21"/>
              </w:rPr>
            </w:pPr>
          </w:p>
        </w:tc>
        <w:tc>
          <w:tcPr>
            <w:tcW w:w="237" w:type="dxa"/>
            <w:vMerge w:val="restart"/>
            <w:tcBorders>
              <w:left w:val="single" w:color="auto" w:sz="4" w:space="0"/>
              <w:right w:val="single" w:color="auto" w:sz="6" w:space="0"/>
            </w:tcBorders>
            <w:vAlign w:val="center"/>
          </w:tcPr>
          <w:p w14:paraId="491FF271">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常通电路</w:t>
            </w:r>
          </w:p>
        </w:tc>
        <w:tc>
          <w:tcPr>
            <w:tcW w:w="3372" w:type="dxa"/>
            <w:tcBorders>
              <w:top w:val="single" w:color="auto" w:sz="4" w:space="0"/>
              <w:left w:val="single" w:color="auto" w:sz="6" w:space="0"/>
              <w:bottom w:val="single" w:color="auto" w:sz="4" w:space="0"/>
              <w:right w:val="single" w:color="auto" w:sz="6" w:space="0"/>
            </w:tcBorders>
            <w:vAlign w:val="center"/>
          </w:tcPr>
          <w:p w14:paraId="7E7602ED">
            <w:pPr>
              <w:pStyle w:val="19"/>
              <w:keepNext w:val="0"/>
              <w:keepLines w:val="0"/>
              <w:pageBreakBefore w:val="0"/>
              <w:numPr>
                <w:ilvl w:val="3"/>
                <w:numId w:val="0"/>
              </w:numPr>
              <w:kinsoku/>
              <w:wordWrap/>
              <w:overflowPunct/>
              <w:topLinePunct w:val="0"/>
              <w:autoSpaceDE/>
              <w:autoSpaceDN/>
              <w:bidi w:val="0"/>
              <w:snapToGrid/>
              <w:spacing w:line="240" w:lineRule="exact"/>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电源总开关断开后仍保持通电的装置，包括其线路的环境适应性应满足GB/T 3836.1规定的通用要求，以及GB/T 3836.2、GB/T 3836.3、GB/T 3836.4、GB/T 3836.9相应的附加要求</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301712A3">
            <w:pPr>
              <w:pStyle w:val="19"/>
              <w:numPr>
                <w:ilvl w:val="3"/>
                <w:numId w:val="0"/>
              </w:numPr>
              <w:ind w:left="0" w:leftChars="0" w:firstLine="0" w:firstLineChars="0"/>
              <w:rPr>
                <w:rFonts w:hint="default" w:ascii="Times New Roman" w:hAnsi="Times New Roman"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B4C2C75">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DC0B652">
            <w:pPr>
              <w:spacing w:line="240" w:lineRule="exact"/>
              <w:jc w:val="center"/>
              <w:rPr>
                <w:rFonts w:hint="eastAsia" w:ascii="Times New Roman" w:hAnsi="Times New Roman" w:eastAsia="宋体" w:cs="Times New Roman"/>
                <w:sz w:val="21"/>
                <w:szCs w:val="21"/>
                <w:lang w:val="en-US" w:eastAsia="zh-CN"/>
              </w:rPr>
            </w:pPr>
          </w:p>
        </w:tc>
      </w:tr>
      <w:tr w14:paraId="786C1C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33" w:hRule="atLeast"/>
        </w:trPr>
        <w:tc>
          <w:tcPr>
            <w:tcW w:w="345" w:type="dxa"/>
            <w:tcBorders>
              <w:top w:val="single" w:color="auto" w:sz="4" w:space="0"/>
              <w:left w:val="single" w:color="auto" w:sz="4" w:space="0"/>
              <w:bottom w:val="single" w:color="auto" w:sz="4" w:space="0"/>
              <w:right w:val="single" w:color="auto" w:sz="4" w:space="0"/>
            </w:tcBorders>
            <w:vAlign w:val="center"/>
          </w:tcPr>
          <w:p w14:paraId="328FBB20">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18</w:t>
            </w:r>
          </w:p>
        </w:tc>
        <w:tc>
          <w:tcPr>
            <w:tcW w:w="291" w:type="dxa"/>
            <w:vMerge w:val="continue"/>
            <w:tcBorders>
              <w:left w:val="single" w:color="auto" w:sz="4" w:space="0"/>
              <w:right w:val="single" w:color="auto" w:sz="6" w:space="0"/>
            </w:tcBorders>
            <w:vAlign w:val="center"/>
          </w:tcPr>
          <w:p w14:paraId="1DB3D46F">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B4130C6">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vAlign w:val="center"/>
          </w:tcPr>
          <w:p w14:paraId="224451C3">
            <w:pPr>
              <w:pStyle w:val="19"/>
              <w:keepNext w:val="0"/>
              <w:keepLines w:val="0"/>
              <w:pageBreakBefore w:val="0"/>
              <w:numPr>
                <w:ilvl w:val="3"/>
                <w:numId w:val="0"/>
              </w:numPr>
              <w:kinsoku/>
              <w:wordWrap/>
              <w:overflowPunct/>
              <w:topLinePunct w:val="0"/>
              <w:autoSpaceDE/>
              <w:autoSpaceDN/>
              <w:bidi w:val="0"/>
              <w:snapToGrid/>
              <w:spacing w:line="240" w:lineRule="exact"/>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不经过电源总开关而直接接通蓄电池的线路应采取过热保护措施，如保险丝、断路器或限流器</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5A0E7527">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8C6FB80">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5F5C670">
            <w:pPr>
              <w:spacing w:line="240" w:lineRule="exact"/>
              <w:jc w:val="center"/>
              <w:rPr>
                <w:rFonts w:hint="eastAsia" w:ascii="Times New Roman" w:hAnsi="Times New Roman" w:eastAsia="宋体" w:cs="Times New Roman"/>
                <w:sz w:val="21"/>
                <w:szCs w:val="21"/>
                <w:lang w:val="en-US" w:eastAsia="zh-CN"/>
              </w:rPr>
            </w:pPr>
          </w:p>
        </w:tc>
      </w:tr>
      <w:tr w14:paraId="71FD8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745" w:hRule="atLeast"/>
        </w:trPr>
        <w:tc>
          <w:tcPr>
            <w:tcW w:w="345" w:type="dxa"/>
            <w:tcBorders>
              <w:top w:val="single" w:color="auto" w:sz="4" w:space="0"/>
              <w:left w:val="single" w:color="auto" w:sz="4" w:space="0"/>
              <w:bottom w:val="single" w:color="auto" w:sz="4" w:space="0"/>
              <w:right w:val="single" w:color="auto" w:sz="4" w:space="0"/>
            </w:tcBorders>
            <w:vAlign w:val="center"/>
          </w:tcPr>
          <w:p w14:paraId="570B20CC">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19</w:t>
            </w:r>
          </w:p>
        </w:tc>
        <w:tc>
          <w:tcPr>
            <w:tcW w:w="291" w:type="dxa"/>
            <w:vMerge w:val="continue"/>
            <w:tcBorders>
              <w:left w:val="single" w:color="auto" w:sz="4" w:space="0"/>
              <w:right w:val="single" w:color="auto" w:sz="6" w:space="0"/>
            </w:tcBorders>
            <w:vAlign w:val="center"/>
          </w:tcPr>
          <w:p w14:paraId="72AF8117">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7B87E622">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vAlign w:val="center"/>
          </w:tcPr>
          <w:p w14:paraId="66CCF302">
            <w:pPr>
              <w:pStyle w:val="22"/>
              <w:keepNext w:val="0"/>
              <w:keepLines w:val="0"/>
              <w:pageBreakBefore w:val="0"/>
              <w:numPr>
                <w:ilvl w:val="4"/>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cs="Times New Roman"/>
                <w:highlight w:val="none"/>
              </w:rPr>
            </w:pPr>
            <w:r>
              <w:rPr>
                <w:rFonts w:hint="default" w:ascii="Times New Roman" w:hAnsi="Times New Roman" w:cs="Times New Roman"/>
                <w:highlight w:val="none"/>
              </w:rPr>
              <w:t>所有电路应设置保险丝或自动断路器予以保护，但下述电路部分除外：</w:t>
            </w:r>
          </w:p>
          <w:p w14:paraId="52CD6395">
            <w:pPr>
              <w:pStyle w:val="21"/>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从蓄电池到启动及发动机停机系统；</w:t>
            </w:r>
          </w:p>
          <w:p w14:paraId="040BFF58">
            <w:pPr>
              <w:pStyle w:val="21"/>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从蓄电池到交流发电机；</w:t>
            </w:r>
          </w:p>
          <w:p w14:paraId="4810AB2E">
            <w:pPr>
              <w:pStyle w:val="21"/>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c）</w:t>
            </w:r>
            <w:r>
              <w:rPr>
                <w:rFonts w:hint="default" w:ascii="Times New Roman" w:hAnsi="Times New Roman" w:cs="Times New Roman"/>
                <w:highlight w:val="none"/>
              </w:rPr>
              <w:t>从交流发电机到保险丝或断路器盒；</w:t>
            </w:r>
          </w:p>
          <w:p w14:paraId="6D1DB3BA">
            <w:pPr>
              <w:pStyle w:val="21"/>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d）</w:t>
            </w:r>
            <w:r>
              <w:rPr>
                <w:rFonts w:hint="default" w:ascii="Times New Roman" w:hAnsi="Times New Roman" w:cs="Times New Roman"/>
                <w:highlight w:val="none"/>
              </w:rPr>
              <w:t>从蓄电池到起动机；</w:t>
            </w:r>
          </w:p>
          <w:p w14:paraId="1FE0BC82">
            <w:pPr>
              <w:pStyle w:val="19"/>
              <w:keepNext w:val="0"/>
              <w:keepLines w:val="0"/>
              <w:pageBreakBefore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eastAsia="zh-CN"/>
              </w:rPr>
            </w:pPr>
            <w:r>
              <w:rPr>
                <w:rFonts w:hint="default" w:ascii="Times New Roman" w:hAnsi="Times New Roman" w:cs="Times New Roman"/>
                <w:highlight w:val="none"/>
                <w:lang w:val="en-US" w:eastAsia="zh-CN"/>
              </w:rPr>
              <w:t>e）</w:t>
            </w:r>
            <w:r>
              <w:rPr>
                <w:rFonts w:hint="default" w:ascii="Times New Roman" w:hAnsi="Times New Roman" w:cs="Times New Roman"/>
                <w:highlight w:val="none"/>
              </w:rPr>
              <w:t>从蓄电池到电气或电磁式缓速制动系统的控制箱</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3EFD0301">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7F37B0A">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8C787BB">
            <w:pPr>
              <w:spacing w:line="240" w:lineRule="exact"/>
              <w:jc w:val="center"/>
              <w:rPr>
                <w:rFonts w:hint="default" w:ascii="Times New Roman" w:hAnsi="Times New Roman" w:eastAsia="宋体" w:cs="Times New Roman"/>
                <w:sz w:val="21"/>
                <w:szCs w:val="21"/>
                <w:lang w:val="en-US" w:eastAsia="zh-CN"/>
              </w:rPr>
            </w:pPr>
          </w:p>
        </w:tc>
      </w:tr>
    </w:tbl>
    <w:p w14:paraId="60DDDAD6"/>
    <w:p w14:paraId="23F79224">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8690"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91"/>
        <w:gridCol w:w="237"/>
        <w:gridCol w:w="3372"/>
        <w:gridCol w:w="3027"/>
        <w:gridCol w:w="709"/>
        <w:gridCol w:w="709"/>
      </w:tblGrid>
      <w:tr w14:paraId="7C662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0" w:hRule="atLeast"/>
        </w:trPr>
        <w:tc>
          <w:tcPr>
            <w:tcW w:w="345" w:type="dxa"/>
            <w:tcBorders>
              <w:left w:val="single" w:color="auto" w:sz="4" w:space="0"/>
              <w:right w:val="single" w:color="auto" w:sz="4" w:space="0"/>
            </w:tcBorders>
            <w:vAlign w:val="center"/>
          </w:tcPr>
          <w:p w14:paraId="50BCD733">
            <w:pPr>
              <w:spacing w:line="240" w:lineRule="exact"/>
              <w:jc w:val="center"/>
              <w:rPr>
                <w:rFonts w:hint="eastAsia" w:cs="Times New Roman"/>
                <w:sz w:val="21"/>
                <w:szCs w:val="21"/>
                <w:lang w:val="en-US" w:eastAsia="zh-CN"/>
              </w:rPr>
            </w:pPr>
            <w:r>
              <w:rPr>
                <w:rFonts w:hint="default" w:ascii="Times New Roman" w:hAnsi="Times New Roman" w:cs="Times New Roman"/>
                <w:sz w:val="21"/>
                <w:szCs w:val="21"/>
              </w:rPr>
              <w:t>序号</w:t>
            </w:r>
          </w:p>
        </w:tc>
        <w:tc>
          <w:tcPr>
            <w:tcW w:w="528" w:type="dxa"/>
            <w:gridSpan w:val="2"/>
            <w:tcBorders>
              <w:left w:val="single" w:color="auto" w:sz="4" w:space="0"/>
              <w:right w:val="single" w:color="auto" w:sz="6" w:space="0"/>
            </w:tcBorders>
            <w:vAlign w:val="center"/>
          </w:tcPr>
          <w:p w14:paraId="4A18E831">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检验项目</w:t>
            </w:r>
          </w:p>
        </w:tc>
        <w:tc>
          <w:tcPr>
            <w:tcW w:w="3372" w:type="dxa"/>
            <w:tcBorders>
              <w:top w:val="single" w:color="auto" w:sz="4" w:space="0"/>
              <w:left w:val="single" w:color="auto" w:sz="6" w:space="0"/>
              <w:bottom w:val="single" w:color="auto" w:sz="4" w:space="0"/>
              <w:right w:val="single" w:color="auto" w:sz="6" w:space="0"/>
            </w:tcBorders>
            <w:vAlign w:val="center"/>
          </w:tcPr>
          <w:p w14:paraId="7EA14AE3">
            <w:pPr>
              <w:widowControl/>
              <w:spacing w:line="240" w:lineRule="exact"/>
              <w:jc w:val="center"/>
              <w:rPr>
                <w:rFonts w:hint="default" w:ascii="Times New Roman" w:hAnsi="Times New Roman" w:cs="Times New Roman"/>
                <w:sz w:val="21"/>
                <w:szCs w:val="21"/>
                <w:highlight w:val="yellow"/>
              </w:rPr>
            </w:pPr>
            <w:r>
              <w:rPr>
                <w:rFonts w:hint="default" w:ascii="Times New Roman" w:hAnsi="Times New Roman" w:cs="Times New Roman"/>
                <w:sz w:val="21"/>
                <w:szCs w:val="21"/>
              </w:rPr>
              <w:t>标  准  要  求</w:t>
            </w:r>
          </w:p>
        </w:tc>
        <w:tc>
          <w:tcPr>
            <w:tcW w:w="3027" w:type="dxa"/>
            <w:tcBorders>
              <w:top w:val="single" w:color="auto" w:sz="4" w:space="0"/>
              <w:left w:val="single" w:color="auto" w:sz="6" w:space="0"/>
              <w:bottom w:val="single" w:color="auto" w:sz="4" w:space="0"/>
              <w:right w:val="single" w:color="auto" w:sz="6" w:space="0"/>
            </w:tcBorders>
            <w:vAlign w:val="center"/>
          </w:tcPr>
          <w:p w14:paraId="7BA78153">
            <w:pPr>
              <w:spacing w:line="240" w:lineRule="exact"/>
              <w:jc w:val="center"/>
              <w:rPr>
                <w:rFonts w:hint="default" w:ascii="Times New Roman" w:hAnsi="Times New Roman" w:eastAsia="宋体" w:cs="Times New Roman"/>
                <w:lang w:val="en-US" w:eastAsia="zh-CN"/>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4" w:space="0"/>
              <w:right w:val="single" w:color="auto" w:sz="4" w:space="0"/>
            </w:tcBorders>
            <w:vAlign w:val="center"/>
          </w:tcPr>
          <w:p w14:paraId="6A10F8E8">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4" w:space="0"/>
              <w:right w:val="single" w:color="auto" w:sz="4" w:space="0"/>
            </w:tcBorders>
            <w:vAlign w:val="center"/>
          </w:tcPr>
          <w:p w14:paraId="21BC1A86">
            <w:pPr>
              <w:spacing w:line="240" w:lineRule="exact"/>
              <w:jc w:val="center"/>
              <w:rPr>
                <w:rFonts w:hint="default" w:ascii="Times New Roman" w:hAnsi="Times New Roman" w:eastAsia="宋体" w:cs="Times New Roman"/>
                <w:sz w:val="21"/>
                <w:szCs w:val="21"/>
                <w:lang w:val="en-US" w:eastAsia="zh-CN"/>
              </w:rPr>
            </w:pPr>
            <w:r>
              <w:rPr>
                <w:rFonts w:ascii="宋体" w:hAnsi="宋体" w:cs="Arial"/>
                <w:color w:val="000000"/>
              </w:rPr>
              <w:t>备注</w:t>
            </w:r>
          </w:p>
        </w:tc>
      </w:tr>
      <w:tr w14:paraId="6F24C8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80" w:hRule="atLeast"/>
        </w:trPr>
        <w:tc>
          <w:tcPr>
            <w:tcW w:w="345" w:type="dxa"/>
            <w:tcBorders>
              <w:left w:val="single" w:color="auto" w:sz="4" w:space="0"/>
              <w:bottom w:val="single" w:color="auto" w:sz="4" w:space="0"/>
              <w:right w:val="single" w:color="auto" w:sz="4" w:space="0"/>
            </w:tcBorders>
            <w:vAlign w:val="center"/>
          </w:tcPr>
          <w:p w14:paraId="6E50EE4B">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20</w:t>
            </w:r>
          </w:p>
        </w:tc>
        <w:tc>
          <w:tcPr>
            <w:tcW w:w="291" w:type="dxa"/>
            <w:vMerge w:val="restart"/>
            <w:tcBorders>
              <w:left w:val="single" w:color="auto" w:sz="4" w:space="0"/>
              <w:right w:val="single" w:color="auto" w:sz="6" w:space="0"/>
            </w:tcBorders>
            <w:vAlign w:val="center"/>
          </w:tcPr>
          <w:p w14:paraId="1F758A15">
            <w:pPr>
              <w:spacing w:line="240" w:lineRule="exact"/>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防火</w:t>
            </w:r>
          </w:p>
        </w:tc>
        <w:tc>
          <w:tcPr>
            <w:tcW w:w="237" w:type="dxa"/>
            <w:vMerge w:val="restart"/>
            <w:tcBorders>
              <w:left w:val="single" w:color="auto" w:sz="4" w:space="0"/>
              <w:right w:val="single" w:color="auto" w:sz="6" w:space="0"/>
            </w:tcBorders>
            <w:vAlign w:val="center"/>
          </w:tcPr>
          <w:p w14:paraId="79C1D4FB">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灭火器</w:t>
            </w:r>
          </w:p>
        </w:tc>
        <w:tc>
          <w:tcPr>
            <w:tcW w:w="3372" w:type="dxa"/>
            <w:tcBorders>
              <w:top w:val="single" w:color="auto" w:sz="4" w:space="0"/>
              <w:left w:val="single" w:color="auto" w:sz="6" w:space="0"/>
              <w:bottom w:val="single" w:color="auto" w:sz="4" w:space="0"/>
              <w:right w:val="single" w:color="auto" w:sz="6" w:space="0"/>
            </w:tcBorders>
            <w:vAlign w:val="center"/>
          </w:tcPr>
          <w:p w14:paraId="74FE991D">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sz w:val="21"/>
                <w:szCs w:val="21"/>
                <w:highlight w:val="none"/>
              </w:rPr>
              <w:t>危险货物运输货车（半挂牵引车除外）和半挂汽车列车随车携带便携式灭火器的数量及容量应满足表1的要求。灭火器应适用于扑救车辆部件起火</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60E7A07A">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13F19FE">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C6DA71D">
            <w:pPr>
              <w:spacing w:line="240" w:lineRule="exact"/>
              <w:jc w:val="center"/>
              <w:rPr>
                <w:rFonts w:hint="default" w:ascii="Times New Roman" w:hAnsi="Times New Roman" w:eastAsia="宋体" w:cs="Times New Roman"/>
                <w:sz w:val="21"/>
                <w:szCs w:val="21"/>
                <w:lang w:val="en-US" w:eastAsia="zh-CN"/>
              </w:rPr>
            </w:pPr>
          </w:p>
        </w:tc>
      </w:tr>
      <w:tr w14:paraId="61CD0A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9" w:hRule="atLeast"/>
        </w:trPr>
        <w:tc>
          <w:tcPr>
            <w:tcW w:w="345" w:type="dxa"/>
            <w:tcBorders>
              <w:top w:val="single" w:color="auto" w:sz="4" w:space="0"/>
              <w:left w:val="single" w:color="auto" w:sz="4" w:space="0"/>
              <w:bottom w:val="single" w:color="auto" w:sz="4" w:space="0"/>
              <w:right w:val="single" w:color="auto" w:sz="4" w:space="0"/>
            </w:tcBorders>
            <w:vAlign w:val="center"/>
          </w:tcPr>
          <w:p w14:paraId="6078F2C7">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21</w:t>
            </w:r>
          </w:p>
        </w:tc>
        <w:tc>
          <w:tcPr>
            <w:tcW w:w="291" w:type="dxa"/>
            <w:vMerge w:val="continue"/>
            <w:tcBorders>
              <w:left w:val="single" w:color="auto" w:sz="4" w:space="0"/>
              <w:right w:val="single" w:color="auto" w:sz="6" w:space="0"/>
            </w:tcBorders>
            <w:vAlign w:val="center"/>
          </w:tcPr>
          <w:p w14:paraId="2998ED3A">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09ED340F">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vAlign w:val="center"/>
          </w:tcPr>
          <w:p w14:paraId="4CB935E0">
            <w:pPr>
              <w:pStyle w:val="22"/>
              <w:keepNext w:val="0"/>
              <w:keepLines w:val="0"/>
              <w:pageBreakBefore w:val="0"/>
              <w:numPr>
                <w:ilvl w:val="4"/>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sz w:val="21"/>
                <w:szCs w:val="21"/>
                <w:highlight w:val="none"/>
              </w:rPr>
              <w:t>灭火器应符合GB 4351的规定且固定牢靠，放置于易于被车组人员拿取的地方</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09B8775E">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AD87815">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C3D1704">
            <w:pPr>
              <w:spacing w:line="240" w:lineRule="exact"/>
              <w:jc w:val="center"/>
              <w:rPr>
                <w:rFonts w:hint="default" w:ascii="Times New Roman" w:hAnsi="Times New Roman" w:eastAsia="宋体" w:cs="Times New Roman"/>
                <w:sz w:val="21"/>
                <w:szCs w:val="21"/>
                <w:lang w:val="en-US" w:eastAsia="zh-CN"/>
              </w:rPr>
            </w:pPr>
          </w:p>
        </w:tc>
      </w:tr>
      <w:tr w14:paraId="148EDC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140" w:hRule="atLeast"/>
        </w:trPr>
        <w:tc>
          <w:tcPr>
            <w:tcW w:w="345" w:type="dxa"/>
            <w:tcBorders>
              <w:top w:val="single" w:color="auto" w:sz="4" w:space="0"/>
              <w:left w:val="single" w:color="auto" w:sz="4" w:space="0"/>
              <w:bottom w:val="single" w:color="auto" w:sz="4" w:space="0"/>
              <w:right w:val="single" w:color="auto" w:sz="4" w:space="0"/>
            </w:tcBorders>
            <w:vAlign w:val="center"/>
          </w:tcPr>
          <w:p w14:paraId="3BF750E8">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22</w:t>
            </w:r>
          </w:p>
        </w:tc>
        <w:tc>
          <w:tcPr>
            <w:tcW w:w="291" w:type="dxa"/>
            <w:vMerge w:val="continue"/>
            <w:tcBorders>
              <w:left w:val="single" w:color="auto" w:sz="4" w:space="0"/>
              <w:right w:val="single" w:color="auto" w:sz="6" w:space="0"/>
            </w:tcBorders>
            <w:vAlign w:val="center"/>
          </w:tcPr>
          <w:p w14:paraId="4E23C53C">
            <w:pPr>
              <w:spacing w:line="240" w:lineRule="exact"/>
              <w:jc w:val="center"/>
              <w:rPr>
                <w:rFonts w:hint="default" w:ascii="Times New Roman" w:hAnsi="Times New Roman" w:cs="Times New Roman"/>
                <w:sz w:val="21"/>
                <w:szCs w:val="21"/>
              </w:rPr>
            </w:pPr>
          </w:p>
        </w:tc>
        <w:tc>
          <w:tcPr>
            <w:tcW w:w="237" w:type="dxa"/>
            <w:vMerge w:val="restart"/>
            <w:tcBorders>
              <w:left w:val="single" w:color="auto" w:sz="4" w:space="0"/>
              <w:right w:val="single" w:color="auto" w:sz="6" w:space="0"/>
            </w:tcBorders>
            <w:vAlign w:val="center"/>
          </w:tcPr>
          <w:p w14:paraId="5BC74F3F">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燃料系统</w:t>
            </w:r>
          </w:p>
        </w:tc>
        <w:tc>
          <w:tcPr>
            <w:tcW w:w="3372" w:type="dxa"/>
            <w:tcBorders>
              <w:top w:val="single" w:color="auto" w:sz="4" w:space="0"/>
              <w:left w:val="single" w:color="auto" w:sz="6" w:space="0"/>
              <w:bottom w:val="single" w:color="auto" w:sz="4" w:space="0"/>
              <w:right w:val="single" w:color="auto" w:sz="6" w:space="0"/>
            </w:tcBorders>
            <w:vAlign w:val="center"/>
          </w:tcPr>
          <w:p w14:paraId="3CE8D55D">
            <w:pPr>
              <w:keepNext w:val="0"/>
              <w:keepLines w:val="0"/>
              <w:pageBreakBefore w:val="0"/>
              <w:widowControl/>
              <w:kinsoku/>
              <w:wordWrap/>
              <w:overflowPunct/>
              <w:topLinePunct w:val="0"/>
              <w:autoSpaceDE/>
              <w:autoSpaceDN/>
              <w:bidi w:val="0"/>
              <w:snapToGrid/>
              <w:spacing w:line="24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在正常运输条件下发生泄漏时，危险货物运输货车的液体燃料或气体燃料的液相应能直接排向地面，不得触及车辆的热部件或载货装置</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02327A6">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C6158CE">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3D320C8">
            <w:pPr>
              <w:spacing w:line="240" w:lineRule="exact"/>
              <w:jc w:val="center"/>
              <w:rPr>
                <w:rFonts w:hint="default" w:ascii="Times New Roman" w:hAnsi="Times New Roman" w:eastAsia="宋体" w:cs="Times New Roman"/>
                <w:sz w:val="21"/>
                <w:szCs w:val="21"/>
                <w:lang w:val="en-US" w:eastAsia="zh-CN"/>
              </w:rPr>
            </w:pPr>
          </w:p>
        </w:tc>
      </w:tr>
      <w:tr w14:paraId="1944E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19" w:hRule="atLeast"/>
        </w:trPr>
        <w:tc>
          <w:tcPr>
            <w:tcW w:w="345" w:type="dxa"/>
            <w:tcBorders>
              <w:top w:val="single" w:color="auto" w:sz="4" w:space="0"/>
              <w:left w:val="single" w:color="auto" w:sz="4" w:space="0"/>
              <w:bottom w:val="single" w:color="auto" w:sz="4" w:space="0"/>
              <w:right w:val="single" w:color="auto" w:sz="4" w:space="0"/>
            </w:tcBorders>
            <w:vAlign w:val="center"/>
          </w:tcPr>
          <w:p w14:paraId="1A7C2F26">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23</w:t>
            </w:r>
          </w:p>
        </w:tc>
        <w:tc>
          <w:tcPr>
            <w:tcW w:w="291" w:type="dxa"/>
            <w:vMerge w:val="continue"/>
            <w:tcBorders>
              <w:left w:val="single" w:color="auto" w:sz="4" w:space="0"/>
              <w:right w:val="single" w:color="auto" w:sz="6" w:space="0"/>
            </w:tcBorders>
            <w:vAlign w:val="center"/>
          </w:tcPr>
          <w:p w14:paraId="2E94A729">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66016E39">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4" w:space="0"/>
              <w:right w:val="single" w:color="auto" w:sz="6" w:space="0"/>
            </w:tcBorders>
            <w:vAlign w:val="center"/>
          </w:tcPr>
          <w:p w14:paraId="374F9D99">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液体燃料的燃油箱应符合GB 18296的规定；装有汽油的燃油箱的加注口应设置阻火器或设置气密封的加注口盖；气体燃料系统应符合GB 19239的规定</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5AEE8ACD">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D9FD417">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EC38731">
            <w:pPr>
              <w:spacing w:line="240" w:lineRule="exact"/>
              <w:jc w:val="center"/>
              <w:rPr>
                <w:rFonts w:hint="default" w:ascii="Times New Roman" w:hAnsi="Times New Roman" w:eastAsia="宋体" w:cs="Times New Roman"/>
                <w:sz w:val="21"/>
                <w:szCs w:val="21"/>
                <w:lang w:val="en-US" w:eastAsia="zh-CN"/>
              </w:rPr>
            </w:pPr>
          </w:p>
        </w:tc>
      </w:tr>
      <w:tr w14:paraId="28639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4" w:hRule="atLeast"/>
        </w:trPr>
        <w:tc>
          <w:tcPr>
            <w:tcW w:w="345" w:type="dxa"/>
            <w:tcBorders>
              <w:top w:val="single" w:color="auto" w:sz="4" w:space="0"/>
              <w:left w:val="single" w:color="auto" w:sz="4" w:space="0"/>
              <w:bottom w:val="single" w:color="auto" w:sz="4" w:space="0"/>
              <w:right w:val="single" w:color="auto" w:sz="4" w:space="0"/>
            </w:tcBorders>
            <w:vAlign w:val="center"/>
          </w:tcPr>
          <w:p w14:paraId="01352FAF">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24</w:t>
            </w:r>
          </w:p>
        </w:tc>
        <w:tc>
          <w:tcPr>
            <w:tcW w:w="291" w:type="dxa"/>
            <w:vMerge w:val="continue"/>
            <w:tcBorders>
              <w:left w:val="single" w:color="auto" w:sz="4" w:space="0"/>
              <w:right w:val="single" w:color="auto" w:sz="6" w:space="0"/>
            </w:tcBorders>
            <w:vAlign w:val="center"/>
          </w:tcPr>
          <w:p w14:paraId="07DE8412">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74409594">
            <w:pPr>
              <w:spacing w:line="240" w:lineRule="exact"/>
              <w:jc w:val="center"/>
              <w:rPr>
                <w:rFonts w:hint="default" w:ascii="Times New Roman" w:hAnsi="Times New Roman" w:cs="Times New Roman"/>
                <w:sz w:val="21"/>
                <w:szCs w:val="21"/>
              </w:rPr>
            </w:pPr>
          </w:p>
        </w:tc>
        <w:tc>
          <w:tcPr>
            <w:tcW w:w="3372" w:type="dxa"/>
            <w:tcBorders>
              <w:top w:val="single" w:color="auto" w:sz="4" w:space="0"/>
              <w:left w:val="single" w:color="auto" w:sz="6" w:space="0"/>
              <w:bottom w:val="single" w:color="auto" w:sz="6" w:space="0"/>
              <w:right w:val="single" w:color="auto" w:sz="6" w:space="0"/>
            </w:tcBorders>
            <w:vAlign w:val="center"/>
          </w:tcPr>
          <w:p w14:paraId="2825DDAF">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sz w:val="21"/>
                <w:szCs w:val="21"/>
                <w:highlight w:val="none"/>
              </w:rPr>
            </w:pPr>
            <w:r>
              <w:rPr>
                <w:rFonts w:hint="default" w:ascii="Times New Roman" w:hAnsi="Times New Roman" w:cs="Times New Roman"/>
                <w:highlight w:val="none"/>
              </w:rPr>
              <w:t>危险货物运输货车应为使用液体燃料的发动机配备单燃油箱，且单燃油箱的容积应小于或等于400L</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6" w:space="0"/>
              <w:right w:val="single" w:color="auto" w:sz="6" w:space="0"/>
            </w:tcBorders>
            <w:vAlign w:val="center"/>
          </w:tcPr>
          <w:p w14:paraId="3B8E6DF2">
            <w:pPr>
              <w:pStyle w:val="19"/>
              <w:numPr>
                <w:ilvl w:val="3"/>
                <w:numId w:val="0"/>
              </w:numPr>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6" w:space="0"/>
              <w:right w:val="single" w:color="auto" w:sz="4" w:space="0"/>
            </w:tcBorders>
            <w:vAlign w:val="center"/>
          </w:tcPr>
          <w:p w14:paraId="3EC69191">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6" w:space="0"/>
              <w:right w:val="single" w:color="auto" w:sz="4" w:space="0"/>
            </w:tcBorders>
            <w:vAlign w:val="center"/>
          </w:tcPr>
          <w:p w14:paraId="546C1ABB">
            <w:pPr>
              <w:spacing w:line="240" w:lineRule="exact"/>
              <w:jc w:val="center"/>
              <w:rPr>
                <w:rFonts w:hint="default" w:ascii="Times New Roman" w:hAnsi="Times New Roman" w:eastAsia="宋体" w:cs="Times New Roman"/>
                <w:sz w:val="21"/>
                <w:szCs w:val="21"/>
                <w:lang w:val="en-US" w:eastAsia="zh-CN"/>
              </w:rPr>
            </w:pPr>
          </w:p>
        </w:tc>
      </w:tr>
      <w:tr w14:paraId="6F111D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4" w:space="0"/>
              <w:right w:val="single" w:color="auto" w:sz="4" w:space="0"/>
            </w:tcBorders>
            <w:vAlign w:val="center"/>
          </w:tcPr>
          <w:p w14:paraId="63EFEE55">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25</w:t>
            </w:r>
          </w:p>
        </w:tc>
        <w:tc>
          <w:tcPr>
            <w:tcW w:w="291" w:type="dxa"/>
            <w:vMerge w:val="continue"/>
            <w:tcBorders>
              <w:left w:val="single" w:color="auto" w:sz="4" w:space="0"/>
              <w:right w:val="single" w:color="auto" w:sz="6" w:space="0"/>
            </w:tcBorders>
            <w:vAlign w:val="center"/>
          </w:tcPr>
          <w:p w14:paraId="19E2FBF3">
            <w:pPr>
              <w:spacing w:line="240" w:lineRule="exact"/>
              <w:jc w:val="center"/>
              <w:rPr>
                <w:rFonts w:hint="eastAsia" w:ascii="Times New Roman" w:hAnsi="Times New Roman" w:eastAsia="宋体" w:cs="Times New Roman"/>
                <w:sz w:val="21"/>
                <w:szCs w:val="21"/>
                <w:lang w:val="en-US" w:eastAsia="zh-CN"/>
              </w:rPr>
            </w:pPr>
          </w:p>
        </w:tc>
        <w:tc>
          <w:tcPr>
            <w:tcW w:w="237" w:type="dxa"/>
            <w:vMerge w:val="restart"/>
            <w:tcBorders>
              <w:top w:val="single" w:color="auto" w:sz="4" w:space="0"/>
              <w:left w:val="single" w:color="auto" w:sz="4" w:space="0"/>
              <w:right w:val="single" w:color="auto" w:sz="6" w:space="0"/>
            </w:tcBorders>
            <w:vAlign w:val="center"/>
          </w:tcPr>
          <w:p w14:paraId="7F00F64B">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发动机</w:t>
            </w:r>
          </w:p>
        </w:tc>
        <w:tc>
          <w:tcPr>
            <w:tcW w:w="3372" w:type="dxa"/>
            <w:tcBorders>
              <w:top w:val="single" w:color="auto" w:sz="4" w:space="0"/>
              <w:left w:val="single" w:color="auto" w:sz="6" w:space="0"/>
              <w:bottom w:val="single" w:color="auto" w:sz="4" w:space="0"/>
              <w:right w:val="single" w:color="auto" w:sz="6" w:space="0"/>
            </w:tcBorders>
            <w:vAlign w:val="center"/>
          </w:tcPr>
          <w:p w14:paraId="2C55B7F3">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危险货物运输车辆的发动机，不应对载货装置产生加热</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1A393F4F">
            <w:pPr>
              <w:pStyle w:val="19"/>
              <w:numPr>
                <w:ilvl w:val="3"/>
                <w:numId w:val="0"/>
              </w:numPr>
              <w:spacing w:line="240" w:lineRule="auto"/>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A3D83F7">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F055013">
            <w:pPr>
              <w:spacing w:line="240" w:lineRule="exact"/>
              <w:jc w:val="center"/>
              <w:rPr>
                <w:rFonts w:hint="default" w:ascii="Times New Roman" w:hAnsi="Times New Roman" w:eastAsia="宋体" w:cs="Times New Roman"/>
                <w:sz w:val="21"/>
                <w:szCs w:val="21"/>
                <w:lang w:val="en-US" w:eastAsia="zh-CN"/>
              </w:rPr>
            </w:pPr>
          </w:p>
        </w:tc>
      </w:tr>
      <w:tr w14:paraId="22E7DD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7" w:hRule="atLeast"/>
        </w:trPr>
        <w:tc>
          <w:tcPr>
            <w:tcW w:w="345" w:type="dxa"/>
            <w:tcBorders>
              <w:top w:val="single" w:color="auto" w:sz="4" w:space="0"/>
              <w:left w:val="single" w:color="auto" w:sz="4" w:space="0"/>
              <w:bottom w:val="single" w:color="auto" w:sz="4" w:space="0"/>
              <w:right w:val="single" w:color="auto" w:sz="4" w:space="0"/>
            </w:tcBorders>
            <w:vAlign w:val="center"/>
          </w:tcPr>
          <w:p w14:paraId="458DCA1E">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26</w:t>
            </w:r>
          </w:p>
        </w:tc>
        <w:tc>
          <w:tcPr>
            <w:tcW w:w="291" w:type="dxa"/>
            <w:vMerge w:val="continue"/>
            <w:tcBorders>
              <w:left w:val="single" w:color="auto" w:sz="4" w:space="0"/>
              <w:right w:val="single" w:color="auto" w:sz="6" w:space="0"/>
            </w:tcBorders>
            <w:vAlign w:val="center"/>
          </w:tcPr>
          <w:p w14:paraId="710764A5">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6C53CA9">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47940A79">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EX/II 和 EX/Ⅲ型车辆应使用压燃式发动机，不应使用气体燃料。</w:t>
            </w:r>
          </w:p>
        </w:tc>
        <w:tc>
          <w:tcPr>
            <w:tcW w:w="3027" w:type="dxa"/>
            <w:tcBorders>
              <w:top w:val="single" w:color="auto" w:sz="4" w:space="0"/>
              <w:left w:val="single" w:color="auto" w:sz="6" w:space="0"/>
              <w:bottom w:val="single" w:color="auto" w:sz="4" w:space="0"/>
              <w:right w:val="single" w:color="auto" w:sz="6" w:space="0"/>
            </w:tcBorders>
            <w:vAlign w:val="center"/>
          </w:tcPr>
          <w:p w14:paraId="660C9C05">
            <w:pPr>
              <w:pStyle w:val="19"/>
              <w:numPr>
                <w:ilvl w:val="3"/>
                <w:numId w:val="0"/>
              </w:numPr>
              <w:spacing w:line="240" w:lineRule="auto"/>
              <w:ind w:left="0" w:leftChars="0" w:firstLine="0" w:firstLineChars="0"/>
              <w:rPr>
                <w:rFonts w:hint="default" w:ascii="Times New Roman" w:hAnsi="Times New Roman"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35D15A6">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9F17BC4">
            <w:pPr>
              <w:spacing w:line="240" w:lineRule="exact"/>
              <w:jc w:val="center"/>
              <w:rPr>
                <w:rFonts w:hint="default" w:ascii="Times New Roman" w:hAnsi="Times New Roman" w:eastAsia="宋体" w:cs="Times New Roman"/>
                <w:sz w:val="21"/>
                <w:szCs w:val="21"/>
                <w:lang w:val="en-US" w:eastAsia="zh-CN"/>
              </w:rPr>
            </w:pPr>
          </w:p>
        </w:tc>
      </w:tr>
      <w:tr w14:paraId="505997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322" w:hRule="atLeast"/>
        </w:trPr>
        <w:tc>
          <w:tcPr>
            <w:tcW w:w="345" w:type="dxa"/>
            <w:tcBorders>
              <w:top w:val="single" w:color="auto" w:sz="4" w:space="0"/>
              <w:left w:val="single" w:color="auto" w:sz="4" w:space="0"/>
              <w:bottom w:val="single" w:color="auto" w:sz="4" w:space="0"/>
              <w:right w:val="single" w:color="auto" w:sz="4" w:space="0"/>
            </w:tcBorders>
            <w:vAlign w:val="center"/>
          </w:tcPr>
          <w:p w14:paraId="028EACC0">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27</w:t>
            </w:r>
          </w:p>
        </w:tc>
        <w:tc>
          <w:tcPr>
            <w:tcW w:w="291" w:type="dxa"/>
            <w:vMerge w:val="continue"/>
            <w:tcBorders>
              <w:left w:val="single" w:color="auto" w:sz="4" w:space="0"/>
              <w:right w:val="single" w:color="auto" w:sz="6" w:space="0"/>
            </w:tcBorders>
            <w:vAlign w:val="center"/>
          </w:tcPr>
          <w:p w14:paraId="4467B478">
            <w:pPr>
              <w:spacing w:line="240" w:lineRule="exact"/>
              <w:jc w:val="center"/>
              <w:rPr>
                <w:rFonts w:hint="default" w:ascii="Times New Roman" w:hAnsi="Times New Roman" w:cs="Times New Roman"/>
                <w:sz w:val="21"/>
                <w:szCs w:val="21"/>
              </w:rPr>
            </w:pPr>
          </w:p>
        </w:tc>
        <w:tc>
          <w:tcPr>
            <w:tcW w:w="237" w:type="dxa"/>
            <w:vMerge w:val="restart"/>
            <w:tcBorders>
              <w:left w:val="single" w:color="auto" w:sz="4" w:space="0"/>
              <w:right w:val="single" w:color="auto" w:sz="6" w:space="0"/>
            </w:tcBorders>
            <w:vAlign w:val="center"/>
          </w:tcPr>
          <w:p w14:paraId="175A0E6A">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排气系统</w:t>
            </w:r>
          </w:p>
        </w:tc>
        <w:tc>
          <w:tcPr>
            <w:tcW w:w="3372" w:type="dxa"/>
            <w:tcBorders>
              <w:top w:val="single" w:color="auto" w:sz="4" w:space="0"/>
              <w:left w:val="single" w:color="auto" w:sz="6" w:space="0"/>
              <w:bottom w:val="single" w:color="auto" w:sz="4" w:space="0"/>
              <w:right w:val="single" w:color="auto" w:sz="6" w:space="0"/>
            </w:tcBorders>
            <w:vAlign w:val="center"/>
          </w:tcPr>
          <w:p w14:paraId="4A01DC63">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sz w:val="21"/>
                <w:szCs w:val="21"/>
                <w:highlight w:val="none"/>
              </w:rPr>
              <w:t>危险货物运输车辆排气管的布置应能避免加热和点燃货物，距燃油箱、燃油管净距离不应小于200 mm，与裸露的电气开关的距离不应小于100 mm</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99C0415">
            <w:pPr>
              <w:pStyle w:val="19"/>
              <w:numPr>
                <w:ilvl w:val="3"/>
                <w:numId w:val="0"/>
              </w:numPr>
              <w:spacing w:line="240" w:lineRule="auto"/>
              <w:ind w:left="0" w:leftChars="0" w:firstLine="0" w:firstLineChars="0"/>
              <w:rPr>
                <w:rFonts w:hint="default" w:ascii="Times New Roman" w:hAnsi="Times New Roman"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B6586C5">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EC32D88">
            <w:pPr>
              <w:spacing w:line="240" w:lineRule="exact"/>
              <w:jc w:val="center"/>
              <w:rPr>
                <w:rFonts w:hint="default" w:ascii="Times New Roman" w:hAnsi="Times New Roman" w:eastAsia="宋体" w:cs="Times New Roman"/>
                <w:sz w:val="21"/>
                <w:szCs w:val="21"/>
                <w:lang w:val="en-US" w:eastAsia="zh-CN"/>
              </w:rPr>
            </w:pPr>
          </w:p>
        </w:tc>
      </w:tr>
      <w:tr w14:paraId="66FE1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15" w:hRule="atLeast"/>
        </w:trPr>
        <w:tc>
          <w:tcPr>
            <w:tcW w:w="345" w:type="dxa"/>
            <w:tcBorders>
              <w:top w:val="single" w:color="auto" w:sz="4" w:space="0"/>
              <w:left w:val="single" w:color="auto" w:sz="4" w:space="0"/>
              <w:bottom w:val="single" w:color="auto" w:sz="4" w:space="0"/>
              <w:right w:val="single" w:color="auto" w:sz="4" w:space="0"/>
            </w:tcBorders>
            <w:vAlign w:val="center"/>
          </w:tcPr>
          <w:p w14:paraId="5917F6E2">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28</w:t>
            </w:r>
          </w:p>
        </w:tc>
        <w:tc>
          <w:tcPr>
            <w:tcW w:w="291" w:type="dxa"/>
            <w:vMerge w:val="continue"/>
            <w:tcBorders>
              <w:left w:val="single" w:color="auto" w:sz="4" w:space="0"/>
              <w:right w:val="single" w:color="auto" w:sz="6" w:space="0"/>
            </w:tcBorders>
            <w:vAlign w:val="center"/>
          </w:tcPr>
          <w:p w14:paraId="6CD7B258">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02B5D53A">
            <w:pPr>
              <w:spacing w:line="240" w:lineRule="exact"/>
              <w:jc w:val="center"/>
              <w:rPr>
                <w:rFonts w:hint="eastAsia"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5ADDE9FE">
            <w:pPr>
              <w:pStyle w:val="22"/>
              <w:keepNext w:val="0"/>
              <w:keepLines w:val="0"/>
              <w:pageBreakBefore w:val="0"/>
              <w:numPr>
                <w:ilvl w:val="4"/>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sz w:val="21"/>
                <w:szCs w:val="21"/>
                <w:highlight w:val="none"/>
              </w:rPr>
              <w:t>运输剧毒化学品的车辆和EX/Ⅱ型车辆、EX/Ⅲ型车辆、FL型车辆的排气管出口应置于货厢或罐体前端面之前、不高于车辆纵梁上平面的区域</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5E6200A2">
            <w:pPr>
              <w:pStyle w:val="19"/>
              <w:numPr>
                <w:ilvl w:val="3"/>
                <w:numId w:val="0"/>
              </w:numPr>
              <w:spacing w:line="240" w:lineRule="auto"/>
              <w:ind w:left="0" w:leftChars="0" w:firstLine="0" w:firstLineChars="0"/>
              <w:rPr>
                <w:rFonts w:hint="default" w:ascii="Times New Roman" w:hAnsi="Times New Roman"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651DDCB">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BBD810C">
            <w:pPr>
              <w:spacing w:line="240" w:lineRule="exact"/>
              <w:jc w:val="center"/>
              <w:rPr>
                <w:rFonts w:hint="default" w:ascii="Times New Roman" w:hAnsi="Times New Roman" w:eastAsia="宋体" w:cs="Times New Roman"/>
                <w:sz w:val="21"/>
                <w:szCs w:val="21"/>
                <w:lang w:val="en-US" w:eastAsia="zh-CN"/>
              </w:rPr>
            </w:pPr>
          </w:p>
        </w:tc>
      </w:tr>
      <w:tr w14:paraId="525981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42" w:hRule="atLeast"/>
        </w:trPr>
        <w:tc>
          <w:tcPr>
            <w:tcW w:w="345" w:type="dxa"/>
            <w:tcBorders>
              <w:top w:val="single" w:color="auto" w:sz="4" w:space="0"/>
              <w:left w:val="single" w:color="auto" w:sz="4" w:space="0"/>
              <w:bottom w:val="single" w:color="auto" w:sz="4" w:space="0"/>
              <w:right w:val="single" w:color="auto" w:sz="4" w:space="0"/>
            </w:tcBorders>
            <w:vAlign w:val="center"/>
          </w:tcPr>
          <w:p w14:paraId="5DE09D6E">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29</w:t>
            </w:r>
          </w:p>
        </w:tc>
        <w:tc>
          <w:tcPr>
            <w:tcW w:w="291" w:type="dxa"/>
            <w:vMerge w:val="continue"/>
            <w:tcBorders>
              <w:left w:val="single" w:color="auto" w:sz="4" w:space="0"/>
              <w:right w:val="single" w:color="auto" w:sz="6" w:space="0"/>
            </w:tcBorders>
            <w:vAlign w:val="center"/>
          </w:tcPr>
          <w:p w14:paraId="7E32E7FF">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3F980176">
            <w:pPr>
              <w:spacing w:line="240" w:lineRule="exact"/>
              <w:jc w:val="center"/>
              <w:rPr>
                <w:rFonts w:hint="eastAsia"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5C2E90AA">
            <w:pPr>
              <w:keepNext w:val="0"/>
              <w:keepLines w:val="0"/>
              <w:pageBreakBefore w:val="0"/>
              <w:widowControl/>
              <w:kinsoku/>
              <w:wordWrap/>
              <w:overflowPunct/>
              <w:topLinePunct w:val="0"/>
              <w:autoSpaceDE/>
              <w:autoSpaceDN/>
              <w:bidi w:val="0"/>
              <w:snapToGrid/>
              <w:spacing w:line="24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运输剧毒化学品的车辆和EX/Ⅱ型车辆、EX/Ⅲ型车辆、FL型车辆的排气管出口应安装符合GB 13365规定的机动车排气火花熄灭器</w:t>
            </w:r>
            <w:r>
              <w:rPr>
                <w:rFonts w:hint="default" w:ascii="Times New Roman" w:hAnsi="Times New Roman" w:cs="Times New Roman"/>
                <w:sz w:val="21"/>
                <w:szCs w:val="21"/>
                <w:highlight w:val="none"/>
                <w:lang w:eastAsia="zh-CN"/>
              </w:rPr>
              <w:t>。</w:t>
            </w:r>
          </w:p>
          <w:p w14:paraId="31C4F3CD">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sz w:val="21"/>
                <w:szCs w:val="21"/>
                <w:highlight w:val="none"/>
              </w:rPr>
              <w:t>运输剧毒化学品的车辆和EX/Ⅱ型车辆、EX/Ⅲ型车辆、FL型车辆的发动机排气系统按照GB 20800.1—2006</w:t>
            </w:r>
            <w:r>
              <w:rPr>
                <w:rFonts w:hint="eastAsia" w:ascii="Times New Roman" w:cs="Times New Roman"/>
                <w:sz w:val="21"/>
                <w:szCs w:val="21"/>
                <w:highlight w:val="none"/>
                <w:lang w:val="en-US" w:eastAsia="zh-CN"/>
              </w:rPr>
              <w:t>中</w:t>
            </w:r>
            <w:r>
              <w:rPr>
                <w:rFonts w:hint="default" w:ascii="Times New Roman" w:hAnsi="Times New Roman" w:cs="Times New Roman"/>
                <w:sz w:val="21"/>
                <w:szCs w:val="21"/>
                <w:highlight w:val="none"/>
              </w:rPr>
              <w:t>5.4.2规定的方法进行试验，捕集效率不小于GB 20800.1</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rPr>
              <w:t>2006表2规定的数值；或按照GB 20800.1—2006</w:t>
            </w:r>
            <w:r>
              <w:rPr>
                <w:rFonts w:hint="eastAsia" w:ascii="Times New Roman" w:cs="Times New Roman"/>
                <w:sz w:val="21"/>
                <w:szCs w:val="21"/>
                <w:highlight w:val="none"/>
                <w:lang w:val="en-US" w:eastAsia="zh-CN"/>
              </w:rPr>
              <w:t>中</w:t>
            </w:r>
            <w:r>
              <w:rPr>
                <w:rFonts w:hint="default" w:ascii="Times New Roman" w:hAnsi="Times New Roman" w:cs="Times New Roman"/>
                <w:sz w:val="21"/>
                <w:szCs w:val="21"/>
                <w:highlight w:val="none"/>
              </w:rPr>
              <w:t>5.4.3规定的方法进行试验未观察到火花，排气管出口</w:t>
            </w:r>
            <w:r>
              <w:rPr>
                <w:rFonts w:hint="eastAsia" w:ascii="Times New Roman" w:cs="Times New Roman"/>
                <w:sz w:val="21"/>
                <w:szCs w:val="21"/>
                <w:highlight w:val="none"/>
                <w:lang w:val="en-US" w:eastAsia="zh-CN"/>
              </w:rPr>
              <w:t>准许</w:t>
            </w:r>
            <w:r>
              <w:rPr>
                <w:rFonts w:hint="default" w:ascii="Times New Roman" w:hAnsi="Times New Roman" w:cs="Times New Roman"/>
                <w:sz w:val="21"/>
                <w:szCs w:val="21"/>
                <w:highlight w:val="none"/>
              </w:rPr>
              <w:t>不安装排气火花熄灭器</w:t>
            </w:r>
            <w:r>
              <w:rPr>
                <w:rFonts w:hint="default" w:ascii="Times New Roman" w:hAnsi="Times New Roman" w:cs="Times New Roman"/>
                <w:sz w:val="21"/>
                <w:szCs w:val="21"/>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35882D0E">
            <w:pPr>
              <w:pStyle w:val="19"/>
              <w:numPr>
                <w:ilvl w:val="3"/>
                <w:numId w:val="0"/>
              </w:numPr>
              <w:spacing w:line="240" w:lineRule="auto"/>
              <w:ind w:left="0" w:leftChars="0" w:firstLine="0" w:firstLineChars="0"/>
              <w:rPr>
                <w:rFonts w:hint="default" w:ascii="Times New Roman" w:hAnsi="Times New Roman"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EF43F73">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DB6C4AC">
            <w:pPr>
              <w:spacing w:line="240" w:lineRule="exact"/>
              <w:jc w:val="center"/>
              <w:rPr>
                <w:rFonts w:hint="default" w:ascii="Times New Roman" w:hAnsi="Times New Roman" w:eastAsia="宋体" w:cs="Times New Roman"/>
                <w:sz w:val="21"/>
                <w:szCs w:val="21"/>
                <w:lang w:val="en-US" w:eastAsia="zh-CN"/>
              </w:rPr>
            </w:pPr>
          </w:p>
        </w:tc>
      </w:tr>
    </w:tbl>
    <w:p w14:paraId="68EFCA71">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8690"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91"/>
        <w:gridCol w:w="237"/>
        <w:gridCol w:w="3372"/>
        <w:gridCol w:w="3027"/>
        <w:gridCol w:w="709"/>
        <w:gridCol w:w="709"/>
      </w:tblGrid>
      <w:tr w14:paraId="4517CF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79" w:hRule="atLeast"/>
        </w:trPr>
        <w:tc>
          <w:tcPr>
            <w:tcW w:w="345" w:type="dxa"/>
            <w:tcBorders>
              <w:left w:val="single" w:color="auto" w:sz="4" w:space="0"/>
              <w:right w:val="single" w:color="auto" w:sz="4" w:space="0"/>
            </w:tcBorders>
            <w:vAlign w:val="center"/>
          </w:tcPr>
          <w:p w14:paraId="33C27B03">
            <w:pPr>
              <w:spacing w:line="240" w:lineRule="exact"/>
              <w:jc w:val="center"/>
              <w:rPr>
                <w:rFonts w:hint="eastAsia" w:cs="Times New Roman"/>
                <w:sz w:val="21"/>
                <w:szCs w:val="21"/>
                <w:lang w:val="en-US" w:eastAsia="zh-CN"/>
              </w:rPr>
            </w:pPr>
            <w:r>
              <w:rPr>
                <w:rFonts w:hint="default" w:ascii="Times New Roman" w:hAnsi="Times New Roman" w:cs="Times New Roman"/>
                <w:sz w:val="21"/>
                <w:szCs w:val="21"/>
              </w:rPr>
              <w:t>序号</w:t>
            </w:r>
          </w:p>
        </w:tc>
        <w:tc>
          <w:tcPr>
            <w:tcW w:w="528" w:type="dxa"/>
            <w:gridSpan w:val="2"/>
            <w:tcBorders>
              <w:left w:val="single" w:color="auto" w:sz="4" w:space="0"/>
              <w:right w:val="single" w:color="auto" w:sz="6" w:space="0"/>
            </w:tcBorders>
            <w:vAlign w:val="center"/>
          </w:tcPr>
          <w:p w14:paraId="61FA8F74">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检验项目</w:t>
            </w:r>
          </w:p>
        </w:tc>
        <w:tc>
          <w:tcPr>
            <w:tcW w:w="3372" w:type="dxa"/>
            <w:tcBorders>
              <w:top w:val="single" w:color="auto" w:sz="4" w:space="0"/>
              <w:left w:val="single" w:color="auto" w:sz="6" w:space="0"/>
              <w:bottom w:val="single" w:color="auto" w:sz="4" w:space="0"/>
              <w:right w:val="single" w:color="auto" w:sz="6" w:space="0"/>
            </w:tcBorders>
            <w:vAlign w:val="center"/>
          </w:tcPr>
          <w:p w14:paraId="22BE56E0">
            <w:pPr>
              <w:widowControl/>
              <w:spacing w:line="240" w:lineRule="exact"/>
              <w:jc w:val="center"/>
              <w:rPr>
                <w:rFonts w:hint="default" w:ascii="Times New Roman" w:hAnsi="Times New Roman" w:cs="Times New Roman"/>
                <w:highlight w:val="yellow"/>
              </w:rPr>
            </w:pPr>
            <w:r>
              <w:rPr>
                <w:rFonts w:hint="default" w:ascii="Times New Roman" w:hAnsi="Times New Roman" w:cs="Times New Roman"/>
                <w:sz w:val="21"/>
                <w:szCs w:val="21"/>
              </w:rPr>
              <w:t>标  准  要  求</w:t>
            </w:r>
          </w:p>
        </w:tc>
        <w:tc>
          <w:tcPr>
            <w:tcW w:w="3027" w:type="dxa"/>
            <w:tcBorders>
              <w:top w:val="single" w:color="auto" w:sz="4" w:space="0"/>
              <w:left w:val="single" w:color="auto" w:sz="6" w:space="0"/>
              <w:bottom w:val="single" w:color="auto" w:sz="4" w:space="0"/>
              <w:right w:val="single" w:color="auto" w:sz="6" w:space="0"/>
            </w:tcBorders>
            <w:vAlign w:val="center"/>
          </w:tcPr>
          <w:p w14:paraId="15742384">
            <w:pPr>
              <w:spacing w:line="240" w:lineRule="exact"/>
              <w:jc w:val="center"/>
              <w:rPr>
                <w:rFonts w:hint="default" w:ascii="Times New Roman" w:hAnsi="Times New Roman" w:cs="Times New Roman"/>
                <w:u w:val="single"/>
                <w:lang w:val="en-US" w:eastAsia="zh-CN"/>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4" w:space="0"/>
              <w:right w:val="single" w:color="auto" w:sz="4" w:space="0"/>
            </w:tcBorders>
            <w:vAlign w:val="center"/>
          </w:tcPr>
          <w:p w14:paraId="230D6B5C">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4" w:space="0"/>
              <w:right w:val="single" w:color="auto" w:sz="4" w:space="0"/>
            </w:tcBorders>
            <w:vAlign w:val="center"/>
          </w:tcPr>
          <w:p w14:paraId="78A033FE">
            <w:pPr>
              <w:spacing w:line="240" w:lineRule="exact"/>
              <w:jc w:val="center"/>
              <w:rPr>
                <w:rFonts w:hint="default" w:ascii="Times New Roman" w:hAnsi="Times New Roman" w:eastAsia="宋体" w:cs="Times New Roman"/>
                <w:sz w:val="21"/>
                <w:szCs w:val="21"/>
                <w:lang w:val="en-US" w:eastAsia="zh-CN"/>
              </w:rPr>
            </w:pPr>
            <w:r>
              <w:rPr>
                <w:rFonts w:ascii="宋体" w:hAnsi="宋体" w:cs="Arial"/>
                <w:color w:val="000000"/>
              </w:rPr>
              <w:t>备注</w:t>
            </w:r>
          </w:p>
        </w:tc>
      </w:tr>
      <w:tr w14:paraId="54E6B4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42" w:hRule="atLeast"/>
        </w:trPr>
        <w:tc>
          <w:tcPr>
            <w:tcW w:w="345" w:type="dxa"/>
            <w:tcBorders>
              <w:left w:val="single" w:color="auto" w:sz="4" w:space="0"/>
              <w:bottom w:val="single" w:color="auto" w:sz="4" w:space="0"/>
              <w:right w:val="single" w:color="auto" w:sz="4" w:space="0"/>
            </w:tcBorders>
            <w:vAlign w:val="center"/>
          </w:tcPr>
          <w:p w14:paraId="0CF1128C">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30</w:t>
            </w:r>
          </w:p>
        </w:tc>
        <w:tc>
          <w:tcPr>
            <w:tcW w:w="291" w:type="dxa"/>
            <w:vMerge w:val="restart"/>
            <w:tcBorders>
              <w:left w:val="single" w:color="auto" w:sz="4" w:space="0"/>
              <w:right w:val="single" w:color="auto" w:sz="6" w:space="0"/>
            </w:tcBorders>
            <w:vAlign w:val="center"/>
          </w:tcPr>
          <w:p w14:paraId="09575782">
            <w:pPr>
              <w:spacing w:line="240" w:lineRule="exact"/>
              <w:jc w:val="center"/>
              <w:rPr>
                <w:rFonts w:hint="default" w:ascii="Times New Roman" w:hAnsi="Times New Roman" w:cs="Times New Roman"/>
                <w:sz w:val="21"/>
                <w:szCs w:val="21"/>
              </w:rPr>
            </w:pPr>
            <w:r>
              <w:rPr>
                <w:rFonts w:hint="eastAsia" w:cs="Times New Roman"/>
                <w:sz w:val="21"/>
                <w:szCs w:val="21"/>
                <w:lang w:val="en-US" w:eastAsia="zh-CN"/>
              </w:rPr>
              <w:t>防火</w:t>
            </w:r>
          </w:p>
        </w:tc>
        <w:tc>
          <w:tcPr>
            <w:tcW w:w="237" w:type="dxa"/>
            <w:vMerge w:val="restart"/>
            <w:tcBorders>
              <w:left w:val="single" w:color="auto" w:sz="4" w:space="0"/>
              <w:right w:val="single" w:color="auto" w:sz="6" w:space="0"/>
            </w:tcBorders>
            <w:vAlign w:val="center"/>
          </w:tcPr>
          <w:p w14:paraId="17093BBD">
            <w:pPr>
              <w:spacing w:line="240" w:lineRule="exact"/>
              <w:jc w:val="center"/>
              <w:rPr>
                <w:rFonts w:hint="eastAsia" w:cs="Times New Roman"/>
                <w:sz w:val="21"/>
                <w:szCs w:val="21"/>
                <w:lang w:val="en-US" w:eastAsia="zh-CN"/>
              </w:rPr>
            </w:pPr>
            <w:r>
              <w:rPr>
                <w:rFonts w:hint="default" w:ascii="Times New Roman" w:hAnsi="Times New Roman" w:cs="Times New Roman"/>
                <w:sz w:val="21"/>
                <w:szCs w:val="21"/>
                <w:lang w:val="en-US" w:eastAsia="zh-CN"/>
              </w:rPr>
              <w:t>缓速器</w:t>
            </w:r>
          </w:p>
        </w:tc>
        <w:tc>
          <w:tcPr>
            <w:tcW w:w="3372" w:type="dxa"/>
            <w:tcBorders>
              <w:top w:val="single" w:color="auto" w:sz="4" w:space="0"/>
              <w:left w:val="single" w:color="auto" w:sz="6" w:space="0"/>
              <w:bottom w:val="single" w:color="auto" w:sz="4" w:space="0"/>
              <w:right w:val="single" w:color="auto" w:sz="6" w:space="0"/>
            </w:tcBorders>
            <w:vAlign w:val="center"/>
          </w:tcPr>
          <w:p w14:paraId="22F2278C">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sz w:val="21"/>
                <w:szCs w:val="21"/>
                <w:highlight w:val="none"/>
              </w:rPr>
            </w:pPr>
            <w:r>
              <w:rPr>
                <w:rFonts w:hint="default" w:ascii="Times New Roman" w:hAnsi="Times New Roman" w:cs="Times New Roman"/>
                <w:highlight w:val="none"/>
              </w:rPr>
              <w:t>在驾驶室后壁之后装有缓速器的车辆，应在缓速器与载货装置之间设置隔热层。该隔热层应既能防止缓速器发热危及货物，又能防止货物泄漏危及缓速器本身</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0D6C6908">
            <w:pPr>
              <w:pStyle w:val="19"/>
              <w:numPr>
                <w:ilvl w:val="3"/>
                <w:numId w:val="0"/>
              </w:numPr>
              <w:spacing w:line="240" w:lineRule="auto"/>
              <w:ind w:left="0" w:leftChars="0" w:firstLine="0" w:firstLineChars="0"/>
              <w:rPr>
                <w:rFonts w:hint="default" w:ascii="Times New Roman" w:hAnsi="Times New Roman"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602709B">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3686F62">
            <w:pPr>
              <w:spacing w:line="240" w:lineRule="exact"/>
              <w:jc w:val="center"/>
              <w:rPr>
                <w:rFonts w:hint="default" w:ascii="Times New Roman" w:hAnsi="Times New Roman" w:eastAsia="宋体" w:cs="Times New Roman"/>
                <w:sz w:val="21"/>
                <w:szCs w:val="21"/>
                <w:lang w:val="en-US" w:eastAsia="zh-CN"/>
              </w:rPr>
            </w:pPr>
          </w:p>
        </w:tc>
      </w:tr>
      <w:tr w14:paraId="360AA0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76" w:hRule="atLeast"/>
        </w:trPr>
        <w:tc>
          <w:tcPr>
            <w:tcW w:w="345" w:type="dxa"/>
            <w:tcBorders>
              <w:top w:val="single" w:color="auto" w:sz="4" w:space="0"/>
              <w:left w:val="single" w:color="auto" w:sz="4" w:space="0"/>
              <w:bottom w:val="single" w:color="auto" w:sz="4" w:space="0"/>
              <w:right w:val="single" w:color="auto" w:sz="4" w:space="0"/>
            </w:tcBorders>
            <w:vAlign w:val="center"/>
          </w:tcPr>
          <w:p w14:paraId="1E2B0104">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31</w:t>
            </w:r>
          </w:p>
        </w:tc>
        <w:tc>
          <w:tcPr>
            <w:tcW w:w="291" w:type="dxa"/>
            <w:vMerge w:val="continue"/>
            <w:tcBorders>
              <w:left w:val="single" w:color="auto" w:sz="4" w:space="0"/>
              <w:right w:val="single" w:color="auto" w:sz="6" w:space="0"/>
            </w:tcBorders>
            <w:vAlign w:val="center"/>
          </w:tcPr>
          <w:p w14:paraId="56ACEC68">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34BC1B8A">
            <w:pPr>
              <w:spacing w:line="240" w:lineRule="exact"/>
              <w:jc w:val="center"/>
              <w:rPr>
                <w:rFonts w:hint="eastAsia"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43411E7A">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sz w:val="21"/>
                <w:szCs w:val="21"/>
                <w:highlight w:val="none"/>
              </w:rPr>
            </w:pPr>
            <w:r>
              <w:rPr>
                <w:rFonts w:hint="default" w:ascii="Times New Roman" w:hAnsi="Times New Roman" w:cs="Times New Roman"/>
                <w:highlight w:val="none"/>
              </w:rPr>
              <w:t>电涡流缓速器的安装部位应设置温度报警系统或自动灭火装置</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0A1C4CF8">
            <w:pPr>
              <w:pStyle w:val="19"/>
              <w:numPr>
                <w:ilvl w:val="3"/>
                <w:numId w:val="0"/>
              </w:numPr>
              <w:spacing w:line="240" w:lineRule="auto"/>
              <w:ind w:left="0" w:leftChars="0" w:firstLine="0" w:firstLineChars="0"/>
              <w:rPr>
                <w:rFonts w:hint="default" w:ascii="Times New Roman" w:hAnsi="Times New Roman"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CC7DBD6">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FF0F00D">
            <w:pPr>
              <w:spacing w:line="240" w:lineRule="exact"/>
              <w:jc w:val="center"/>
              <w:rPr>
                <w:rFonts w:hint="default" w:ascii="Times New Roman" w:hAnsi="Times New Roman" w:eastAsia="宋体" w:cs="Times New Roman"/>
                <w:sz w:val="21"/>
                <w:szCs w:val="21"/>
                <w:lang w:val="en-US" w:eastAsia="zh-CN"/>
              </w:rPr>
            </w:pPr>
          </w:p>
        </w:tc>
      </w:tr>
      <w:tr w14:paraId="60745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26" w:hRule="atLeast"/>
        </w:trPr>
        <w:tc>
          <w:tcPr>
            <w:tcW w:w="345" w:type="dxa"/>
            <w:tcBorders>
              <w:top w:val="single" w:color="auto" w:sz="4" w:space="0"/>
              <w:left w:val="single" w:color="auto" w:sz="4" w:space="0"/>
              <w:bottom w:val="single" w:color="auto" w:sz="4" w:space="0"/>
              <w:right w:val="single" w:color="auto" w:sz="4" w:space="0"/>
            </w:tcBorders>
            <w:vAlign w:val="center"/>
          </w:tcPr>
          <w:p w14:paraId="5EA51126">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32</w:t>
            </w:r>
          </w:p>
        </w:tc>
        <w:tc>
          <w:tcPr>
            <w:tcW w:w="291" w:type="dxa"/>
            <w:vMerge w:val="continue"/>
            <w:tcBorders>
              <w:left w:val="single" w:color="auto" w:sz="4" w:space="0"/>
              <w:right w:val="single" w:color="auto" w:sz="6" w:space="0"/>
            </w:tcBorders>
            <w:vAlign w:val="center"/>
          </w:tcPr>
          <w:p w14:paraId="10063D64">
            <w:pPr>
              <w:spacing w:line="240" w:lineRule="exact"/>
              <w:jc w:val="center"/>
              <w:rPr>
                <w:rFonts w:hint="default" w:ascii="Times New Roman" w:hAnsi="Times New Roman" w:cs="Times New Roman"/>
                <w:sz w:val="21"/>
                <w:szCs w:val="21"/>
              </w:rPr>
            </w:pPr>
          </w:p>
        </w:tc>
        <w:tc>
          <w:tcPr>
            <w:tcW w:w="237" w:type="dxa"/>
            <w:vMerge w:val="restart"/>
            <w:tcBorders>
              <w:left w:val="single" w:color="auto" w:sz="4" w:space="0"/>
              <w:right w:val="single" w:color="auto" w:sz="6" w:space="0"/>
            </w:tcBorders>
            <w:vAlign w:val="center"/>
          </w:tcPr>
          <w:p w14:paraId="76A12EB0">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燃烧加热器</w:t>
            </w:r>
          </w:p>
        </w:tc>
        <w:tc>
          <w:tcPr>
            <w:tcW w:w="3372" w:type="dxa"/>
            <w:tcBorders>
              <w:top w:val="single" w:color="auto" w:sz="4" w:space="0"/>
              <w:left w:val="single" w:color="auto" w:sz="6" w:space="0"/>
              <w:bottom w:val="single" w:color="auto" w:sz="4" w:space="0"/>
              <w:right w:val="single" w:color="auto" w:sz="6" w:space="0"/>
            </w:tcBorders>
            <w:vAlign w:val="center"/>
          </w:tcPr>
          <w:p w14:paraId="5C02F343">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 xml:space="preserve">危险货物运输车辆安装有燃烧加热器时，燃烧加热器应满足UN  </w:t>
            </w:r>
            <w:r>
              <w:rPr>
                <w:rFonts w:hint="default" w:ascii="Times New Roman" w:hAnsi="Times New Roman" w:cs="Times New Roman"/>
                <w:highlight w:val="none"/>
                <w:lang w:val="en-US" w:eastAsia="zh-CN"/>
              </w:rPr>
              <w:t>RegulationNo.122</w:t>
            </w:r>
            <w:r>
              <w:rPr>
                <w:rFonts w:hint="default" w:ascii="Times New Roman" w:hAnsi="Times New Roman" w:cs="Times New Roman"/>
                <w:highlight w:val="none"/>
              </w:rPr>
              <w:t>的规定</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5E4D3A61">
            <w:pPr>
              <w:pStyle w:val="19"/>
              <w:numPr>
                <w:ilvl w:val="3"/>
                <w:numId w:val="0"/>
              </w:numPr>
              <w:spacing w:line="240" w:lineRule="auto"/>
              <w:ind w:left="0" w:leftChars="0" w:firstLine="0" w:firstLineChars="0"/>
              <w:rPr>
                <w:rFonts w:hint="eastAsia"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FDF54D6">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12AA34AA">
            <w:pPr>
              <w:spacing w:line="240" w:lineRule="exact"/>
              <w:jc w:val="center"/>
              <w:rPr>
                <w:rFonts w:hint="default" w:ascii="Times New Roman" w:hAnsi="Times New Roman" w:cs="Times New Roman"/>
                <w:sz w:val="21"/>
                <w:szCs w:val="21"/>
              </w:rPr>
            </w:pPr>
          </w:p>
        </w:tc>
      </w:tr>
      <w:tr w14:paraId="38AD2C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33" w:hRule="atLeast"/>
        </w:trPr>
        <w:tc>
          <w:tcPr>
            <w:tcW w:w="345" w:type="dxa"/>
            <w:tcBorders>
              <w:top w:val="single" w:color="auto" w:sz="4" w:space="0"/>
              <w:left w:val="single" w:color="auto" w:sz="4" w:space="0"/>
              <w:bottom w:val="single" w:color="auto" w:sz="4" w:space="0"/>
              <w:right w:val="single" w:color="auto" w:sz="4" w:space="0"/>
            </w:tcBorders>
            <w:vAlign w:val="center"/>
          </w:tcPr>
          <w:p w14:paraId="5F3E8021">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33</w:t>
            </w:r>
          </w:p>
        </w:tc>
        <w:tc>
          <w:tcPr>
            <w:tcW w:w="291" w:type="dxa"/>
            <w:vMerge w:val="continue"/>
            <w:tcBorders>
              <w:left w:val="single" w:color="auto" w:sz="4" w:space="0"/>
              <w:right w:val="single" w:color="auto" w:sz="6" w:space="0"/>
            </w:tcBorders>
            <w:vAlign w:val="center"/>
          </w:tcPr>
          <w:p w14:paraId="4B38A159">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6D31BB44">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18E82EE5">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燃烧加热器的燃油箱应符合GB 18296的规定，并应满足5.4.2.1和5.4.2.2的要求</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4530FBDB">
            <w:pPr>
              <w:pStyle w:val="19"/>
              <w:numPr>
                <w:ilvl w:val="3"/>
                <w:numId w:val="0"/>
              </w:numPr>
              <w:spacing w:line="240" w:lineRule="auto"/>
              <w:ind w:left="0" w:leftChars="0" w:firstLine="0" w:firstLineChars="0"/>
              <w:jc w:val="left"/>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CD2B65B">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6927BF85">
            <w:pPr>
              <w:spacing w:line="240" w:lineRule="exact"/>
              <w:jc w:val="center"/>
              <w:rPr>
                <w:rFonts w:hint="default" w:ascii="Times New Roman" w:hAnsi="Times New Roman" w:cs="Times New Roman"/>
                <w:sz w:val="21"/>
                <w:szCs w:val="21"/>
              </w:rPr>
            </w:pPr>
          </w:p>
        </w:tc>
      </w:tr>
      <w:tr w14:paraId="5534CF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90" w:hRule="atLeast"/>
        </w:trPr>
        <w:tc>
          <w:tcPr>
            <w:tcW w:w="345" w:type="dxa"/>
            <w:tcBorders>
              <w:top w:val="single" w:color="auto" w:sz="4" w:space="0"/>
              <w:left w:val="single" w:color="auto" w:sz="4" w:space="0"/>
              <w:bottom w:val="single" w:color="auto" w:sz="4" w:space="0"/>
              <w:right w:val="single" w:color="auto" w:sz="4" w:space="0"/>
            </w:tcBorders>
            <w:vAlign w:val="center"/>
          </w:tcPr>
          <w:p w14:paraId="05993AA4">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34</w:t>
            </w:r>
          </w:p>
        </w:tc>
        <w:tc>
          <w:tcPr>
            <w:tcW w:w="291" w:type="dxa"/>
            <w:vMerge w:val="continue"/>
            <w:tcBorders>
              <w:left w:val="single" w:color="auto" w:sz="4" w:space="0"/>
              <w:right w:val="single" w:color="auto" w:sz="6" w:space="0"/>
            </w:tcBorders>
            <w:vAlign w:val="center"/>
          </w:tcPr>
          <w:p w14:paraId="1CE5E3E5">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5692F77">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7F53D0ED">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燃烧加热器的排气系统应满足5.4.4的要求。安装在驾驶室内的燃烧加热器的排气管</w:t>
            </w:r>
            <w:r>
              <w:rPr>
                <w:rFonts w:hint="eastAsia" w:ascii="Times New Roman" w:cs="Times New Roman"/>
                <w:highlight w:val="none"/>
                <w:lang w:val="en-US" w:eastAsia="zh-CN"/>
              </w:rPr>
              <w:t>准许</w:t>
            </w:r>
            <w:r>
              <w:rPr>
                <w:rFonts w:hint="default" w:ascii="Times New Roman" w:hAnsi="Times New Roman" w:cs="Times New Roman"/>
                <w:highlight w:val="none"/>
              </w:rPr>
              <w:t>高于车辆纵梁上平面</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130F52D8">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9CC2361">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933122A">
            <w:pPr>
              <w:spacing w:line="240" w:lineRule="exact"/>
              <w:jc w:val="center"/>
              <w:rPr>
                <w:rFonts w:hint="default" w:ascii="Times New Roman" w:hAnsi="Times New Roman" w:cs="Times New Roman"/>
                <w:sz w:val="21"/>
                <w:szCs w:val="21"/>
              </w:rPr>
            </w:pPr>
          </w:p>
        </w:tc>
      </w:tr>
      <w:tr w14:paraId="0C9493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04" w:hRule="atLeast"/>
        </w:trPr>
        <w:tc>
          <w:tcPr>
            <w:tcW w:w="345" w:type="dxa"/>
            <w:tcBorders>
              <w:top w:val="single" w:color="auto" w:sz="4" w:space="0"/>
              <w:left w:val="single" w:color="auto" w:sz="4" w:space="0"/>
              <w:bottom w:val="single" w:color="auto" w:sz="4" w:space="0"/>
              <w:right w:val="single" w:color="auto" w:sz="4" w:space="0"/>
            </w:tcBorders>
            <w:vAlign w:val="center"/>
          </w:tcPr>
          <w:p w14:paraId="51C37763">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35</w:t>
            </w:r>
          </w:p>
        </w:tc>
        <w:tc>
          <w:tcPr>
            <w:tcW w:w="291" w:type="dxa"/>
            <w:vMerge w:val="continue"/>
            <w:tcBorders>
              <w:left w:val="single" w:color="auto" w:sz="4" w:space="0"/>
              <w:right w:val="single" w:color="auto" w:sz="6" w:space="0"/>
            </w:tcBorders>
            <w:vAlign w:val="center"/>
          </w:tcPr>
          <w:p w14:paraId="4686123A">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6E4FCFD3">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3811E6AA">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燃烧加热器的开启应为手动操作，不应自动开启</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6D38A31">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235075B">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3F7B731">
            <w:pPr>
              <w:spacing w:line="240" w:lineRule="exact"/>
              <w:jc w:val="center"/>
              <w:rPr>
                <w:rFonts w:hint="default" w:ascii="Times New Roman" w:hAnsi="Times New Roman" w:cs="Times New Roman"/>
                <w:sz w:val="21"/>
                <w:szCs w:val="21"/>
              </w:rPr>
            </w:pPr>
          </w:p>
        </w:tc>
      </w:tr>
      <w:tr w14:paraId="1C7ED4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870" w:hRule="atLeast"/>
        </w:trPr>
        <w:tc>
          <w:tcPr>
            <w:tcW w:w="345" w:type="dxa"/>
            <w:tcBorders>
              <w:top w:val="single" w:color="auto" w:sz="4" w:space="0"/>
              <w:left w:val="single" w:color="auto" w:sz="4" w:space="0"/>
              <w:bottom w:val="single" w:color="auto" w:sz="4" w:space="0"/>
              <w:right w:val="single" w:color="auto" w:sz="4" w:space="0"/>
            </w:tcBorders>
            <w:vAlign w:val="center"/>
          </w:tcPr>
          <w:p w14:paraId="3351A871">
            <w:pPr>
              <w:snapToGrid w:val="0"/>
              <w:spacing w:line="240" w:lineRule="auto"/>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36</w:t>
            </w:r>
          </w:p>
          <w:p w14:paraId="7AF8A259">
            <w:pPr>
              <w:spacing w:line="240" w:lineRule="exact"/>
              <w:jc w:val="center"/>
              <w:rPr>
                <w:rFonts w:hint="default" w:ascii="Times New Roman" w:hAnsi="Times New Roman" w:cs="Times New Roman"/>
                <w:sz w:val="21"/>
                <w:szCs w:val="21"/>
              </w:rPr>
            </w:pPr>
          </w:p>
        </w:tc>
        <w:tc>
          <w:tcPr>
            <w:tcW w:w="291" w:type="dxa"/>
            <w:vMerge w:val="continue"/>
            <w:tcBorders>
              <w:left w:val="single" w:color="auto" w:sz="4" w:space="0"/>
              <w:right w:val="single" w:color="auto" w:sz="6" w:space="0"/>
            </w:tcBorders>
            <w:vAlign w:val="center"/>
          </w:tcPr>
          <w:p w14:paraId="2591E372">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0EC5DCA">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52053EF4">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当危险货物运输车辆发动机停机时，燃烧加热器应自动停止工作，但应能通过手动开关重新开启；当启动车辆上的货物驳运泵时，燃烧加热器应自动停止工作，在驳运泵停止运行前，燃烧加热器应无法被开启</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69A20EA1">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1B7BF22">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2F3104FD">
            <w:pPr>
              <w:spacing w:line="240" w:lineRule="exact"/>
              <w:jc w:val="center"/>
              <w:rPr>
                <w:rFonts w:hint="default" w:ascii="Times New Roman" w:hAnsi="Times New Roman" w:cs="Times New Roman"/>
                <w:sz w:val="21"/>
                <w:szCs w:val="21"/>
              </w:rPr>
            </w:pPr>
          </w:p>
        </w:tc>
      </w:tr>
      <w:tr w14:paraId="576F0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925" w:hRule="atLeast"/>
        </w:trPr>
        <w:tc>
          <w:tcPr>
            <w:tcW w:w="345" w:type="dxa"/>
            <w:tcBorders>
              <w:top w:val="single" w:color="auto" w:sz="4" w:space="0"/>
              <w:left w:val="single" w:color="auto" w:sz="4" w:space="0"/>
              <w:bottom w:val="single" w:color="auto" w:sz="4" w:space="0"/>
              <w:right w:val="single" w:color="auto" w:sz="4" w:space="0"/>
            </w:tcBorders>
            <w:vAlign w:val="center"/>
          </w:tcPr>
          <w:p w14:paraId="2113B581">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37</w:t>
            </w:r>
          </w:p>
        </w:tc>
        <w:tc>
          <w:tcPr>
            <w:tcW w:w="291" w:type="dxa"/>
            <w:vMerge w:val="continue"/>
            <w:tcBorders>
              <w:left w:val="single" w:color="auto" w:sz="4" w:space="0"/>
              <w:right w:val="single" w:color="auto" w:sz="6" w:space="0"/>
            </w:tcBorders>
            <w:vAlign w:val="center"/>
          </w:tcPr>
          <w:p w14:paraId="62AB58A0">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30ED22A">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06314DDA">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燃烧加热器停止工作后，允许存在后燃循环。但对于5.4.6.5中情况下停止工作的燃烧加热器，应设有能在停止后40s内切断燃烧空气供应的装置。燃烧加热器中的换热部件应具有耐受40s后燃循环的能力</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425A258F">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CB3B058">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1BBF2A26">
            <w:pPr>
              <w:spacing w:line="240" w:lineRule="exact"/>
              <w:jc w:val="center"/>
              <w:rPr>
                <w:rFonts w:hint="default" w:ascii="Times New Roman" w:hAnsi="Times New Roman" w:cs="Times New Roman"/>
                <w:sz w:val="21"/>
                <w:szCs w:val="21"/>
              </w:rPr>
            </w:pPr>
          </w:p>
        </w:tc>
      </w:tr>
      <w:tr w14:paraId="490F7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89" w:hRule="atLeast"/>
        </w:trPr>
        <w:tc>
          <w:tcPr>
            <w:tcW w:w="345" w:type="dxa"/>
            <w:tcBorders>
              <w:top w:val="single" w:color="auto" w:sz="4" w:space="0"/>
              <w:left w:val="single" w:color="auto" w:sz="4" w:space="0"/>
              <w:bottom w:val="single" w:color="auto" w:sz="4" w:space="0"/>
              <w:right w:val="single" w:color="auto" w:sz="4" w:space="0"/>
            </w:tcBorders>
            <w:vAlign w:val="center"/>
          </w:tcPr>
          <w:p w14:paraId="4118196D">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38</w:t>
            </w:r>
          </w:p>
        </w:tc>
        <w:tc>
          <w:tcPr>
            <w:tcW w:w="291" w:type="dxa"/>
            <w:vMerge w:val="continue"/>
            <w:tcBorders>
              <w:left w:val="single" w:color="auto" w:sz="4" w:space="0"/>
              <w:right w:val="single" w:color="auto" w:sz="6" w:space="0"/>
            </w:tcBorders>
            <w:vAlign w:val="center"/>
          </w:tcPr>
          <w:p w14:paraId="42FBAE58">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005191E9">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444760D4">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燃烧加热器不应燃用气体燃料</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2EE1D5B3">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B06EFF1">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3971A548">
            <w:pPr>
              <w:spacing w:line="240" w:lineRule="exact"/>
              <w:jc w:val="center"/>
              <w:rPr>
                <w:rFonts w:hint="default" w:ascii="Times New Roman" w:hAnsi="Times New Roman" w:cs="Times New Roman"/>
                <w:sz w:val="21"/>
                <w:szCs w:val="21"/>
              </w:rPr>
            </w:pPr>
          </w:p>
        </w:tc>
      </w:tr>
      <w:tr w14:paraId="5ED27A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6" w:hRule="atLeast"/>
        </w:trPr>
        <w:tc>
          <w:tcPr>
            <w:tcW w:w="345" w:type="dxa"/>
            <w:tcBorders>
              <w:top w:val="single" w:color="auto" w:sz="4" w:space="0"/>
              <w:left w:val="single" w:color="auto" w:sz="4" w:space="0"/>
              <w:bottom w:val="single" w:color="auto" w:sz="4" w:space="0"/>
              <w:right w:val="single" w:color="auto" w:sz="4" w:space="0"/>
            </w:tcBorders>
            <w:vAlign w:val="center"/>
          </w:tcPr>
          <w:p w14:paraId="1028FE15">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39</w:t>
            </w:r>
          </w:p>
        </w:tc>
        <w:tc>
          <w:tcPr>
            <w:tcW w:w="291" w:type="dxa"/>
            <w:vMerge w:val="continue"/>
            <w:tcBorders>
              <w:left w:val="single" w:color="auto" w:sz="4" w:space="0"/>
              <w:right w:val="single" w:color="auto" w:sz="6" w:space="0"/>
            </w:tcBorders>
            <w:vAlign w:val="center"/>
          </w:tcPr>
          <w:p w14:paraId="07714C15">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42181A22">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5027833C">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安装在载货区域内的燃烧加热器，在运行时应不会引起爆炸性环境点燃</w:t>
            </w:r>
            <w:r>
              <w:rPr>
                <w:rFonts w:hint="default" w:ascii="Times New Roman" w:hAnsi="Times New Roman" w:cs="Times New Roman"/>
                <w:color w:val="333333"/>
                <w:szCs w:val="21"/>
                <w:highlight w:val="none"/>
                <w:shd w:val="clear" w:color="auto" w:fill="FFFFFF"/>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2C50D24">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80BA41B">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7B07C0E2">
            <w:pPr>
              <w:spacing w:line="240" w:lineRule="exact"/>
              <w:jc w:val="center"/>
              <w:rPr>
                <w:rFonts w:hint="default" w:ascii="Times New Roman" w:hAnsi="Times New Roman" w:cs="Times New Roman"/>
                <w:sz w:val="21"/>
                <w:szCs w:val="21"/>
              </w:rPr>
            </w:pPr>
          </w:p>
        </w:tc>
      </w:tr>
      <w:tr w14:paraId="32F45C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3" w:hRule="atLeast"/>
        </w:trPr>
        <w:tc>
          <w:tcPr>
            <w:tcW w:w="345" w:type="dxa"/>
            <w:tcBorders>
              <w:top w:val="single" w:color="auto" w:sz="4" w:space="0"/>
              <w:left w:val="single" w:color="auto" w:sz="4" w:space="0"/>
              <w:bottom w:val="single" w:color="auto" w:sz="4" w:space="0"/>
              <w:right w:val="single" w:color="auto" w:sz="4" w:space="0"/>
            </w:tcBorders>
            <w:vAlign w:val="center"/>
          </w:tcPr>
          <w:p w14:paraId="601ECC84">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40</w:t>
            </w:r>
          </w:p>
        </w:tc>
        <w:tc>
          <w:tcPr>
            <w:tcW w:w="291" w:type="dxa"/>
            <w:vMerge w:val="continue"/>
            <w:tcBorders>
              <w:left w:val="single" w:color="auto" w:sz="4" w:space="0"/>
              <w:bottom w:val="single" w:color="auto" w:sz="4" w:space="0"/>
              <w:right w:val="single" w:color="auto" w:sz="6" w:space="0"/>
            </w:tcBorders>
            <w:vAlign w:val="center"/>
          </w:tcPr>
          <w:p w14:paraId="5463BD6B">
            <w:pPr>
              <w:spacing w:line="240" w:lineRule="exact"/>
              <w:jc w:val="center"/>
              <w:rPr>
                <w:rFonts w:hint="default" w:ascii="Times New Roman" w:hAnsi="Times New Roman" w:cs="Times New Roman"/>
                <w:sz w:val="21"/>
                <w:szCs w:val="21"/>
              </w:rPr>
            </w:pPr>
          </w:p>
        </w:tc>
        <w:tc>
          <w:tcPr>
            <w:tcW w:w="237" w:type="dxa"/>
            <w:vMerge w:val="continue"/>
            <w:tcBorders>
              <w:left w:val="single" w:color="auto" w:sz="4" w:space="0"/>
              <w:right w:val="single" w:color="auto" w:sz="6" w:space="0"/>
            </w:tcBorders>
            <w:vAlign w:val="center"/>
          </w:tcPr>
          <w:p w14:paraId="748BA7BB">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4FFBB23D">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对载货区域内的加热温度应小于或等于50℃</w:t>
            </w:r>
            <w:r>
              <w:rPr>
                <w:rFonts w:hint="default" w:ascii="Times New Roman" w:hAnsi="Times New Roman" w:cs="Times New Roman"/>
                <w:highlight w:val="none"/>
                <w:lang w:eastAsia="zh-CN"/>
              </w:rPr>
              <w:t>。</w:t>
            </w:r>
          </w:p>
        </w:tc>
        <w:tc>
          <w:tcPr>
            <w:tcW w:w="3027" w:type="dxa"/>
            <w:tcBorders>
              <w:top w:val="single" w:color="auto" w:sz="4" w:space="0"/>
              <w:left w:val="single" w:color="auto" w:sz="6" w:space="0"/>
              <w:bottom w:val="single" w:color="auto" w:sz="4" w:space="0"/>
              <w:right w:val="single" w:color="auto" w:sz="6" w:space="0"/>
            </w:tcBorders>
            <w:vAlign w:val="center"/>
          </w:tcPr>
          <w:p w14:paraId="73C17F25">
            <w:pPr>
              <w:pStyle w:val="19"/>
              <w:numPr>
                <w:ilvl w:val="3"/>
                <w:numId w:val="0"/>
              </w:numPr>
              <w:spacing w:line="240" w:lineRule="auto"/>
              <w:ind w:left="0" w:leftChars="0" w:firstLine="0" w:firstLineChars="0"/>
              <w:rPr>
                <w:rFonts w:hint="default" w:ascii="Times New Roman" w:hAnsi="Times New Roman" w:eastAsia="宋体" w:cs="Times New Roman"/>
                <w:u w:val="singl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D361CE4">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595ADF24">
            <w:pPr>
              <w:spacing w:line="240" w:lineRule="exact"/>
              <w:jc w:val="center"/>
              <w:rPr>
                <w:rFonts w:hint="default" w:ascii="Times New Roman" w:hAnsi="Times New Roman" w:cs="Times New Roman"/>
                <w:sz w:val="21"/>
                <w:szCs w:val="21"/>
              </w:rPr>
            </w:pPr>
          </w:p>
        </w:tc>
      </w:tr>
    </w:tbl>
    <w:p w14:paraId="57431117">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2A4FA3FD">
      <w:pPr>
        <w:spacing w:line="240" w:lineRule="exact"/>
        <w:jc w:val="both"/>
        <w:rPr>
          <w:rFonts w:hint="default" w:ascii="Times New Roman" w:hAnsi="Times New Roman" w:cs="Times New Roman"/>
          <w:kern w:val="2"/>
          <w:sz w:val="21"/>
        </w:rPr>
      </w:pPr>
    </w:p>
    <w:p w14:paraId="718671CD">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28"/>
        <w:gridCol w:w="3372"/>
        <w:gridCol w:w="3372"/>
        <w:gridCol w:w="709"/>
        <w:gridCol w:w="709"/>
      </w:tblGrid>
      <w:tr w14:paraId="5D3C39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60" w:hRule="atLeast"/>
        </w:trPr>
        <w:tc>
          <w:tcPr>
            <w:tcW w:w="345" w:type="dxa"/>
            <w:tcBorders>
              <w:top w:val="single" w:color="auto" w:sz="4" w:space="0"/>
              <w:left w:val="single" w:color="auto" w:sz="4" w:space="0"/>
              <w:bottom w:val="single" w:color="auto" w:sz="6" w:space="0"/>
              <w:right w:val="single" w:color="auto" w:sz="4" w:space="0"/>
            </w:tcBorders>
            <w:vAlign w:val="center"/>
          </w:tcPr>
          <w:p w14:paraId="62589648">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tcBorders>
              <w:top w:val="single" w:color="auto" w:sz="4" w:space="0"/>
              <w:left w:val="single" w:color="auto" w:sz="4" w:space="0"/>
              <w:bottom w:val="single" w:color="auto" w:sz="6" w:space="0"/>
              <w:right w:val="single" w:color="auto" w:sz="6" w:space="0"/>
            </w:tcBorders>
            <w:vAlign w:val="center"/>
          </w:tcPr>
          <w:p w14:paraId="2C1D41FD">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372" w:type="dxa"/>
            <w:tcBorders>
              <w:top w:val="single" w:color="auto" w:sz="4" w:space="0"/>
              <w:left w:val="single" w:color="auto" w:sz="6" w:space="0"/>
              <w:bottom w:val="single" w:color="auto" w:sz="6" w:space="0"/>
              <w:right w:val="single" w:color="auto" w:sz="6" w:space="0"/>
            </w:tcBorders>
            <w:vAlign w:val="center"/>
          </w:tcPr>
          <w:p w14:paraId="4C01389F">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372" w:type="dxa"/>
            <w:tcBorders>
              <w:top w:val="single" w:color="auto" w:sz="4" w:space="0"/>
              <w:left w:val="single" w:color="auto" w:sz="6" w:space="0"/>
              <w:bottom w:val="single" w:color="auto" w:sz="6" w:space="0"/>
              <w:right w:val="single" w:color="auto" w:sz="6" w:space="0"/>
            </w:tcBorders>
            <w:vAlign w:val="center"/>
          </w:tcPr>
          <w:p w14:paraId="3B7CEA44">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73BE6E0B">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3602A5D2">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31BEEE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50" w:hRule="atLeast"/>
        </w:trPr>
        <w:tc>
          <w:tcPr>
            <w:tcW w:w="345" w:type="dxa"/>
            <w:tcBorders>
              <w:left w:val="single" w:color="auto" w:sz="4" w:space="0"/>
              <w:bottom w:val="single" w:color="auto" w:sz="4" w:space="0"/>
              <w:right w:val="single" w:color="auto" w:sz="4" w:space="0"/>
            </w:tcBorders>
            <w:vAlign w:val="center"/>
          </w:tcPr>
          <w:p w14:paraId="26D4CBB5">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41</w:t>
            </w:r>
          </w:p>
        </w:tc>
        <w:tc>
          <w:tcPr>
            <w:tcW w:w="528" w:type="dxa"/>
            <w:vMerge w:val="restart"/>
            <w:tcBorders>
              <w:left w:val="single" w:color="auto" w:sz="4" w:space="0"/>
              <w:right w:val="single" w:color="auto" w:sz="6" w:space="0"/>
            </w:tcBorders>
            <w:vAlign w:val="center"/>
          </w:tcPr>
          <w:p w14:paraId="22F4386E">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防</w:t>
            </w:r>
          </w:p>
          <w:p w14:paraId="13ABD563">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静电措施</w:t>
            </w:r>
          </w:p>
        </w:tc>
        <w:tc>
          <w:tcPr>
            <w:tcW w:w="3372" w:type="dxa"/>
            <w:tcBorders>
              <w:top w:val="single" w:color="auto" w:sz="4" w:space="0"/>
              <w:left w:val="single" w:color="auto" w:sz="6" w:space="0"/>
              <w:bottom w:val="single" w:color="auto" w:sz="4" w:space="0"/>
              <w:right w:val="single" w:color="auto" w:sz="6" w:space="0"/>
            </w:tcBorders>
            <w:vAlign w:val="center"/>
          </w:tcPr>
          <w:p w14:paraId="411540EF">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底盘﹑罐体或货厢、管道及其他相关附件等金属材质相关装置任意两点间的电阻值应小于或等于5Ω</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58282A24">
            <w:pPr>
              <w:pStyle w:val="19"/>
              <w:numPr>
                <w:ilvl w:val="3"/>
                <w:numId w:val="0"/>
              </w:numPr>
              <w:spacing w:line="240" w:lineRule="auto"/>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9D3F98D">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4D0C8D4">
            <w:pPr>
              <w:spacing w:line="240" w:lineRule="exact"/>
              <w:jc w:val="center"/>
              <w:rPr>
                <w:rFonts w:hint="eastAsia" w:ascii="Times New Roman" w:hAnsi="Times New Roman" w:eastAsia="宋体" w:cs="Times New Roman"/>
                <w:sz w:val="21"/>
                <w:szCs w:val="21"/>
                <w:lang w:val="en-US" w:eastAsia="zh-CN"/>
              </w:rPr>
            </w:pPr>
          </w:p>
        </w:tc>
      </w:tr>
      <w:tr w14:paraId="425329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42" w:hRule="atLeast"/>
        </w:trPr>
        <w:tc>
          <w:tcPr>
            <w:tcW w:w="345" w:type="dxa"/>
            <w:tcBorders>
              <w:top w:val="single" w:color="auto" w:sz="4" w:space="0"/>
              <w:left w:val="single" w:color="auto" w:sz="4" w:space="0"/>
              <w:bottom w:val="single" w:color="auto" w:sz="4" w:space="0"/>
              <w:right w:val="single" w:color="auto" w:sz="4" w:space="0"/>
            </w:tcBorders>
            <w:vAlign w:val="center"/>
          </w:tcPr>
          <w:p w14:paraId="26CEAB3E">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42</w:t>
            </w:r>
          </w:p>
        </w:tc>
        <w:tc>
          <w:tcPr>
            <w:tcW w:w="528" w:type="dxa"/>
            <w:vMerge w:val="continue"/>
            <w:tcBorders>
              <w:left w:val="single" w:color="auto" w:sz="4" w:space="0"/>
              <w:right w:val="single" w:color="auto" w:sz="6" w:space="0"/>
            </w:tcBorders>
            <w:vAlign w:val="center"/>
          </w:tcPr>
          <w:p w14:paraId="35B32C92">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068BBC31">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eastAsia" w:ascii="Times New Roman" w:hAnsi="Times New Roman" w:eastAsia="宋体" w:cs="Times New Roman"/>
                <w:highlight w:val="none"/>
                <w:lang w:eastAsia="zh-CN"/>
              </w:rPr>
            </w:pPr>
            <w:r>
              <w:rPr>
                <w:rFonts w:hint="default" w:ascii="Times New Roman" w:hAnsi="Times New Roman" w:cs="Times New Roman"/>
                <w:highlight w:val="none"/>
              </w:rPr>
              <w:t>运输剧毒化学品的车辆和EX/Ⅱ型、EX/Ⅲ型车辆的货厢内底板应铺设阻燃导静电胶板﹐厚度应不小于5 mm，导静电胶板任意一点与拖地带之间的电阻值应为10</w:t>
            </w:r>
            <w:r>
              <w:rPr>
                <w:rFonts w:hint="default" w:ascii="Times New Roman" w:hAnsi="Times New Roman" w:cs="Times New Roman"/>
                <w:highlight w:val="none"/>
                <w:vertAlign w:val="superscript"/>
              </w:rPr>
              <w:t>4</w:t>
            </w:r>
            <w:r>
              <w:rPr>
                <w:rFonts w:hint="default" w:ascii="Times New Roman" w:hAnsi="Times New Roman" w:cs="Times New Roman"/>
                <w:highlight w:val="none"/>
              </w:rPr>
              <w:t>Ω～10</w:t>
            </w:r>
            <w:r>
              <w:rPr>
                <w:rFonts w:hint="default" w:ascii="Times New Roman" w:hAnsi="Times New Roman" w:cs="Times New Roman"/>
                <w:highlight w:val="none"/>
                <w:vertAlign w:val="superscript"/>
              </w:rPr>
              <w:t>8</w:t>
            </w:r>
            <w:r>
              <w:rPr>
                <w:rFonts w:hint="default" w:ascii="Times New Roman" w:hAnsi="Times New Roman" w:cs="Times New Roman"/>
                <w:highlight w:val="none"/>
              </w:rPr>
              <w:t>Ω</w:t>
            </w:r>
            <w:r>
              <w:rPr>
                <w:rFonts w:hint="eastAsia" w:asci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5EEBDA40">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73B3CBF">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3B212272">
            <w:pPr>
              <w:spacing w:line="240" w:lineRule="exact"/>
              <w:jc w:val="center"/>
              <w:rPr>
                <w:rFonts w:hint="default" w:ascii="Times New Roman" w:hAnsi="Times New Roman" w:cs="Times New Roman"/>
                <w:sz w:val="21"/>
                <w:szCs w:val="21"/>
              </w:rPr>
            </w:pPr>
          </w:p>
        </w:tc>
      </w:tr>
      <w:tr w14:paraId="6BA39D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125" w:hRule="atLeast"/>
        </w:trPr>
        <w:tc>
          <w:tcPr>
            <w:tcW w:w="345" w:type="dxa"/>
            <w:tcBorders>
              <w:top w:val="single" w:color="auto" w:sz="4" w:space="0"/>
              <w:left w:val="single" w:color="auto" w:sz="4" w:space="0"/>
              <w:bottom w:val="single" w:color="auto" w:sz="4" w:space="0"/>
              <w:right w:val="single" w:color="auto" w:sz="4" w:space="0"/>
            </w:tcBorders>
            <w:vAlign w:val="center"/>
          </w:tcPr>
          <w:p w14:paraId="191CA719">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43</w:t>
            </w:r>
          </w:p>
        </w:tc>
        <w:tc>
          <w:tcPr>
            <w:tcW w:w="528" w:type="dxa"/>
            <w:vMerge w:val="continue"/>
            <w:tcBorders>
              <w:left w:val="single" w:color="auto" w:sz="4" w:space="0"/>
              <w:right w:val="single" w:color="auto" w:sz="6" w:space="0"/>
            </w:tcBorders>
            <w:vAlign w:val="center"/>
          </w:tcPr>
          <w:p w14:paraId="2456E861">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43E088C8">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配置有输送泵的车辆，应采用离心泵、叶片泵或其他不易积聚静电的泵，泵送系统应形成导静电通路</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3A5536E4">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3D57869">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1B708021">
            <w:pPr>
              <w:spacing w:line="240" w:lineRule="exact"/>
              <w:jc w:val="center"/>
              <w:rPr>
                <w:rFonts w:hint="default" w:ascii="Times New Roman" w:hAnsi="Times New Roman" w:cs="Times New Roman"/>
                <w:sz w:val="21"/>
                <w:szCs w:val="21"/>
              </w:rPr>
            </w:pPr>
          </w:p>
        </w:tc>
      </w:tr>
      <w:tr w14:paraId="504964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328" w:hRule="atLeast"/>
        </w:trPr>
        <w:tc>
          <w:tcPr>
            <w:tcW w:w="345" w:type="dxa"/>
            <w:tcBorders>
              <w:top w:val="single" w:color="auto" w:sz="4" w:space="0"/>
              <w:left w:val="single" w:color="auto" w:sz="4" w:space="0"/>
              <w:bottom w:val="single" w:color="auto" w:sz="4" w:space="0"/>
              <w:right w:val="single" w:color="auto" w:sz="4" w:space="0"/>
            </w:tcBorders>
            <w:vAlign w:val="center"/>
          </w:tcPr>
          <w:p w14:paraId="365586CB">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44</w:t>
            </w:r>
          </w:p>
        </w:tc>
        <w:tc>
          <w:tcPr>
            <w:tcW w:w="528" w:type="dxa"/>
            <w:vMerge w:val="continue"/>
            <w:tcBorders>
              <w:left w:val="single" w:color="auto" w:sz="4" w:space="0"/>
              <w:right w:val="single" w:color="auto" w:sz="6" w:space="0"/>
            </w:tcBorders>
            <w:vAlign w:val="center"/>
          </w:tcPr>
          <w:p w14:paraId="3188361F">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1455DD37">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装卸软管所用材质应与所装运介质相适应，应采用导静电软管，装卸软管两端金属件之间的电阻值应小于或等于5Ω</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07A3D950">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5872F9C">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7BD16E8D">
            <w:pPr>
              <w:spacing w:line="240" w:lineRule="exact"/>
              <w:jc w:val="center"/>
              <w:rPr>
                <w:rFonts w:hint="default" w:ascii="Times New Roman" w:hAnsi="Times New Roman" w:cs="Times New Roman"/>
                <w:sz w:val="21"/>
                <w:szCs w:val="21"/>
              </w:rPr>
            </w:pPr>
          </w:p>
        </w:tc>
      </w:tr>
      <w:tr w14:paraId="163AB0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387" w:hRule="atLeast"/>
        </w:trPr>
        <w:tc>
          <w:tcPr>
            <w:tcW w:w="345" w:type="dxa"/>
            <w:tcBorders>
              <w:top w:val="single" w:color="auto" w:sz="4" w:space="0"/>
              <w:left w:val="single" w:color="auto" w:sz="4" w:space="0"/>
              <w:bottom w:val="single" w:color="auto" w:sz="4" w:space="0"/>
              <w:right w:val="single" w:color="auto" w:sz="4" w:space="0"/>
            </w:tcBorders>
            <w:vAlign w:val="center"/>
          </w:tcPr>
          <w:p w14:paraId="65286BD0">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45</w:t>
            </w:r>
          </w:p>
        </w:tc>
        <w:tc>
          <w:tcPr>
            <w:tcW w:w="528" w:type="dxa"/>
            <w:vMerge w:val="continue"/>
            <w:tcBorders>
              <w:left w:val="single" w:color="auto" w:sz="4" w:space="0"/>
              <w:right w:val="single" w:color="auto" w:sz="6" w:space="0"/>
            </w:tcBorders>
            <w:vAlign w:val="center"/>
          </w:tcPr>
          <w:p w14:paraId="32237F3A">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703A4D7F">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AT型车辆之外的危险货物运输车辆应有驻车导静电装置，装置接地末端与车架之间的电阻值应小于或等于5Ω</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0FBAFF68">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CE62E5B">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5C0D59C7">
            <w:pPr>
              <w:spacing w:line="240" w:lineRule="exact"/>
              <w:jc w:val="center"/>
              <w:rPr>
                <w:rFonts w:hint="default" w:ascii="Times New Roman" w:hAnsi="Times New Roman" w:cs="Times New Roman"/>
                <w:sz w:val="21"/>
                <w:szCs w:val="21"/>
              </w:rPr>
            </w:pPr>
          </w:p>
        </w:tc>
      </w:tr>
      <w:tr w14:paraId="0137B6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2638" w:hRule="atLeast"/>
        </w:trPr>
        <w:tc>
          <w:tcPr>
            <w:tcW w:w="345" w:type="dxa"/>
            <w:tcBorders>
              <w:top w:val="single" w:color="auto" w:sz="4" w:space="0"/>
              <w:left w:val="single" w:color="auto" w:sz="4" w:space="0"/>
              <w:bottom w:val="single" w:color="auto" w:sz="4" w:space="0"/>
              <w:right w:val="single" w:color="auto" w:sz="4" w:space="0"/>
            </w:tcBorders>
            <w:vAlign w:val="center"/>
          </w:tcPr>
          <w:p w14:paraId="0FBD9B89">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46</w:t>
            </w:r>
          </w:p>
        </w:tc>
        <w:tc>
          <w:tcPr>
            <w:tcW w:w="528" w:type="dxa"/>
            <w:vMerge w:val="continue"/>
            <w:tcBorders>
              <w:left w:val="single" w:color="auto" w:sz="4" w:space="0"/>
              <w:right w:val="single" w:color="auto" w:sz="6" w:space="0"/>
            </w:tcBorders>
            <w:vAlign w:val="center"/>
          </w:tcPr>
          <w:p w14:paraId="7C066396">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7FF08C4C">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危险货物运输车辆尾部应至少安装1根接地端导体截面积大于或等于 100mm</w:t>
            </w:r>
            <w:r>
              <w:rPr>
                <w:rFonts w:hint="default" w:ascii="Times New Roman" w:hAnsi="Times New Roman" w:cs="Times New Roman"/>
                <w:highlight w:val="none"/>
                <w:vertAlign w:val="superscript"/>
              </w:rPr>
              <w:t>2</w:t>
            </w:r>
            <w:r>
              <w:rPr>
                <w:rFonts w:hint="default" w:ascii="Times New Roman" w:hAnsi="Times New Roman" w:cs="Times New Roman"/>
                <w:highlight w:val="none"/>
              </w:rPr>
              <w:t xml:space="preserve"> 的导静电橡胶拖地带，其性能应符合JT/T 230的规定。无论危险货物运输车辆空、满载，导静电橡胶拖地带接地端应始终接地，其接地末端与车架之间的电阻值应小于或等于4Ω。EX/Ⅱ、EX/Ⅲ型车辆应至少安装2根导静电橡胶拖地带</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3E4F774D">
            <w:pPr>
              <w:pStyle w:val="19"/>
              <w:numPr>
                <w:ilvl w:val="3"/>
                <w:numId w:val="0"/>
              </w:numPr>
              <w:spacing w:line="240" w:lineRule="auto"/>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D4B4FEC">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6B60A3DB">
            <w:pPr>
              <w:spacing w:line="240" w:lineRule="exact"/>
              <w:jc w:val="center"/>
              <w:rPr>
                <w:rFonts w:hint="default" w:ascii="Times New Roman" w:hAnsi="Times New Roman" w:cs="Times New Roman"/>
                <w:sz w:val="21"/>
                <w:szCs w:val="21"/>
              </w:rPr>
            </w:pPr>
          </w:p>
        </w:tc>
      </w:tr>
      <w:tr w14:paraId="6D2AC9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42" w:hRule="atLeast"/>
        </w:trPr>
        <w:tc>
          <w:tcPr>
            <w:tcW w:w="345" w:type="dxa"/>
            <w:tcBorders>
              <w:top w:val="single" w:color="auto" w:sz="4" w:space="0"/>
              <w:left w:val="single" w:color="auto" w:sz="4" w:space="0"/>
              <w:right w:val="single" w:color="auto" w:sz="4" w:space="0"/>
            </w:tcBorders>
            <w:vAlign w:val="center"/>
          </w:tcPr>
          <w:p w14:paraId="28C67119">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47</w:t>
            </w:r>
          </w:p>
        </w:tc>
        <w:tc>
          <w:tcPr>
            <w:tcW w:w="528" w:type="dxa"/>
            <w:vMerge w:val="continue"/>
            <w:tcBorders>
              <w:left w:val="single" w:color="auto" w:sz="4" w:space="0"/>
              <w:right w:val="single" w:color="auto" w:sz="6" w:space="0"/>
            </w:tcBorders>
            <w:vAlign w:val="center"/>
          </w:tcPr>
          <w:p w14:paraId="21C85810">
            <w:pPr>
              <w:spacing w:line="240" w:lineRule="exact"/>
              <w:jc w:val="center"/>
              <w:rPr>
                <w:rFonts w:hint="default" w:ascii="Times New Roman" w:hAnsi="Times New Roman" w:eastAsia="宋体"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0AA876B6">
            <w:pPr>
              <w:pStyle w:val="19"/>
              <w:keepNext w:val="0"/>
              <w:keepLines w:val="0"/>
              <w:pageBreakBefore w:val="0"/>
              <w:numPr>
                <w:ilvl w:val="3"/>
                <w:numId w:val="0"/>
              </w:numPr>
              <w:kinsoku/>
              <w:wordWrap/>
              <w:overflowPunct/>
              <w:topLinePunct w:val="0"/>
              <w:autoSpaceDE/>
              <w:autoSpaceDN/>
              <w:bidi w:val="0"/>
              <w:snapToGrid/>
              <w:spacing w:line="240" w:lineRule="auto"/>
              <w:ind w:left="0" w:leftChars="0" w:firstLine="0" w:firstLineChars="0"/>
              <w:rPr>
                <w:rFonts w:hint="default" w:ascii="Times New Roman" w:hAnsi="Times New Roman" w:cs="Times New Roman"/>
                <w:highlight w:val="none"/>
              </w:rPr>
            </w:pPr>
            <w:r>
              <w:rPr>
                <w:rFonts w:hint="default" w:ascii="Times New Roman" w:hAnsi="Times New Roman" w:cs="Times New Roman"/>
                <w:highlight w:val="none"/>
              </w:rPr>
              <w:t>底盘与罐体或货厢采用螺栓连接方式时，底盘与罐体或货厢之间应至少安装1根跨接线，EX/Ⅱ型、EX/Ⅲ型、FL型车辆应至少安装2根跨接线</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1B11C856">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82BFAE4">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D4A808B">
            <w:pPr>
              <w:spacing w:line="240" w:lineRule="exact"/>
              <w:jc w:val="center"/>
              <w:rPr>
                <w:rFonts w:hint="default" w:ascii="Times New Roman" w:hAnsi="Times New Roman" w:cs="Times New Roman"/>
                <w:sz w:val="21"/>
                <w:szCs w:val="21"/>
              </w:rPr>
            </w:pPr>
          </w:p>
        </w:tc>
      </w:tr>
    </w:tbl>
    <w:p w14:paraId="391DE900">
      <w:pPr>
        <w:spacing w:line="240" w:lineRule="exact"/>
        <w:jc w:val="both"/>
        <w:rPr>
          <w:rFonts w:hint="default" w:ascii="Times New Roman" w:hAnsi="Times New Roman" w:cs="Times New Roman"/>
          <w:kern w:val="2"/>
          <w:sz w:val="21"/>
        </w:rPr>
      </w:pPr>
    </w:p>
    <w:p w14:paraId="0A7838BC">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695224F1">
      <w:pPr>
        <w:spacing w:line="240" w:lineRule="exact"/>
        <w:jc w:val="both"/>
        <w:rPr>
          <w:rFonts w:hint="default" w:ascii="Times New Roman" w:hAnsi="Times New Roman" w:cs="Times New Roman"/>
          <w:kern w:val="2"/>
          <w:sz w:val="21"/>
        </w:rPr>
      </w:pPr>
    </w:p>
    <w:p w14:paraId="79441DF7">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302"/>
        <w:gridCol w:w="226"/>
        <w:gridCol w:w="3372"/>
        <w:gridCol w:w="3372"/>
        <w:gridCol w:w="709"/>
        <w:gridCol w:w="709"/>
      </w:tblGrid>
      <w:tr w14:paraId="220C54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71452F95">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gridSpan w:val="2"/>
            <w:tcBorders>
              <w:top w:val="single" w:color="auto" w:sz="4" w:space="0"/>
              <w:left w:val="single" w:color="auto" w:sz="4" w:space="0"/>
              <w:bottom w:val="single" w:color="auto" w:sz="6" w:space="0"/>
              <w:right w:val="single" w:color="auto" w:sz="6" w:space="0"/>
            </w:tcBorders>
            <w:vAlign w:val="center"/>
          </w:tcPr>
          <w:p w14:paraId="75BD7353">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372" w:type="dxa"/>
            <w:tcBorders>
              <w:top w:val="single" w:color="auto" w:sz="4" w:space="0"/>
              <w:left w:val="single" w:color="auto" w:sz="6" w:space="0"/>
              <w:bottom w:val="single" w:color="auto" w:sz="6" w:space="0"/>
              <w:right w:val="single" w:color="auto" w:sz="6" w:space="0"/>
            </w:tcBorders>
            <w:vAlign w:val="center"/>
          </w:tcPr>
          <w:p w14:paraId="47326129">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372" w:type="dxa"/>
            <w:tcBorders>
              <w:top w:val="single" w:color="auto" w:sz="4" w:space="0"/>
              <w:left w:val="single" w:color="auto" w:sz="6" w:space="0"/>
              <w:bottom w:val="single" w:color="auto" w:sz="6" w:space="0"/>
              <w:right w:val="single" w:color="auto" w:sz="6" w:space="0"/>
            </w:tcBorders>
            <w:vAlign w:val="center"/>
          </w:tcPr>
          <w:p w14:paraId="05C924C8">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150CDB22">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28EC3237">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2AE06B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42" w:hRule="atLeast"/>
        </w:trPr>
        <w:tc>
          <w:tcPr>
            <w:tcW w:w="345" w:type="dxa"/>
            <w:tcBorders>
              <w:left w:val="single" w:color="auto" w:sz="4" w:space="0"/>
              <w:bottom w:val="single" w:color="auto" w:sz="4" w:space="0"/>
              <w:right w:val="single" w:color="auto" w:sz="4" w:space="0"/>
            </w:tcBorders>
            <w:vAlign w:val="center"/>
          </w:tcPr>
          <w:p w14:paraId="3D310FDF">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48</w:t>
            </w:r>
          </w:p>
        </w:tc>
        <w:tc>
          <w:tcPr>
            <w:tcW w:w="528" w:type="dxa"/>
            <w:gridSpan w:val="2"/>
            <w:tcBorders>
              <w:left w:val="single" w:color="auto" w:sz="4" w:space="0"/>
              <w:right w:val="single" w:color="auto" w:sz="6" w:space="0"/>
            </w:tcBorders>
            <w:vAlign w:val="center"/>
          </w:tcPr>
          <w:p w14:paraId="6C719FDB">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连接要求</w:t>
            </w:r>
          </w:p>
        </w:tc>
        <w:tc>
          <w:tcPr>
            <w:tcW w:w="3372" w:type="dxa"/>
            <w:tcBorders>
              <w:top w:val="single" w:color="auto" w:sz="4" w:space="0"/>
              <w:left w:val="single" w:color="auto" w:sz="6" w:space="0"/>
              <w:bottom w:val="single" w:color="auto" w:sz="4" w:space="0"/>
              <w:right w:val="single" w:color="auto" w:sz="6" w:space="0"/>
            </w:tcBorders>
            <w:vAlign w:val="center"/>
          </w:tcPr>
          <w:p w14:paraId="5455AB55">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货厢或罐体与底盘的连接装置所采用螺栓的机械性能等级应不低于8.8级，螺栓紧固扭矩应符合QC/T 518的规定，并应采取防松措施</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6EFBB258">
            <w:pPr>
              <w:pStyle w:val="19"/>
              <w:numPr>
                <w:ilvl w:val="3"/>
                <w:numId w:val="0"/>
              </w:numPr>
              <w:spacing w:line="240" w:lineRule="auto"/>
              <w:ind w:left="0" w:leftChars="0" w:firstLine="0" w:firstLineChars="0"/>
              <w:rPr>
                <w:rFonts w:hint="default" w:ascii="Times New Roman" w:hAnsi="Times New Roman" w:cs="Times New Roman"/>
              </w:rPr>
            </w:pPr>
          </w:p>
        </w:tc>
        <w:tc>
          <w:tcPr>
            <w:tcW w:w="709" w:type="dxa"/>
            <w:tcBorders>
              <w:top w:val="single" w:color="auto" w:sz="4" w:space="0"/>
              <w:left w:val="single" w:color="auto" w:sz="6" w:space="0"/>
              <w:bottom w:val="single" w:color="auto" w:sz="4" w:space="0"/>
              <w:right w:val="single" w:color="auto" w:sz="4" w:space="0"/>
            </w:tcBorders>
            <w:vAlign w:val="center"/>
          </w:tcPr>
          <w:p w14:paraId="565C9A92">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5DB1E19">
            <w:pPr>
              <w:spacing w:line="240" w:lineRule="exact"/>
              <w:jc w:val="center"/>
              <w:rPr>
                <w:rFonts w:hint="eastAsia" w:ascii="Times New Roman" w:hAnsi="Times New Roman" w:eastAsia="宋体" w:cs="Times New Roman"/>
                <w:sz w:val="21"/>
                <w:szCs w:val="21"/>
                <w:lang w:val="en-US" w:eastAsia="zh-CN"/>
              </w:rPr>
            </w:pPr>
          </w:p>
        </w:tc>
      </w:tr>
      <w:tr w14:paraId="2FC3D7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824" w:hRule="atLeast"/>
        </w:trPr>
        <w:tc>
          <w:tcPr>
            <w:tcW w:w="345" w:type="dxa"/>
            <w:tcBorders>
              <w:top w:val="single" w:color="auto" w:sz="4" w:space="0"/>
              <w:left w:val="single" w:color="auto" w:sz="4" w:space="0"/>
              <w:bottom w:val="single" w:color="auto" w:sz="4" w:space="0"/>
              <w:right w:val="single" w:color="auto" w:sz="4" w:space="0"/>
            </w:tcBorders>
            <w:vAlign w:val="center"/>
          </w:tcPr>
          <w:p w14:paraId="546F438D">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49</w:t>
            </w:r>
          </w:p>
        </w:tc>
        <w:tc>
          <w:tcPr>
            <w:tcW w:w="528" w:type="dxa"/>
            <w:gridSpan w:val="2"/>
            <w:tcBorders>
              <w:top w:val="single" w:color="auto" w:sz="4" w:space="0"/>
              <w:left w:val="single" w:color="auto" w:sz="4" w:space="0"/>
              <w:bottom w:val="single" w:color="auto" w:sz="4" w:space="0"/>
              <w:right w:val="single" w:color="auto" w:sz="6" w:space="0"/>
            </w:tcBorders>
            <w:vAlign w:val="center"/>
          </w:tcPr>
          <w:p w14:paraId="251EDA7E">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车载终端</w:t>
            </w:r>
          </w:p>
        </w:tc>
        <w:tc>
          <w:tcPr>
            <w:tcW w:w="3372" w:type="dxa"/>
            <w:tcBorders>
              <w:top w:val="single" w:color="auto" w:sz="4" w:space="0"/>
              <w:left w:val="single" w:color="auto" w:sz="6" w:space="0"/>
              <w:bottom w:val="single" w:color="auto" w:sz="4" w:space="0"/>
              <w:right w:val="single" w:color="auto" w:sz="6" w:space="0"/>
            </w:tcBorders>
            <w:vAlign w:val="center"/>
          </w:tcPr>
          <w:p w14:paraId="586BCA18">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运输剧毒化学品的车辆和EX/Ⅱ型、EX/Ⅲ型车辆的车载终端的主电源应为车辆电源。在无法获得车辆电源时应自动切换至车载终端的备用电池组供电，备用电池组支持正常工作的时间应大于或等于8h</w:t>
            </w:r>
            <w:r>
              <w:rPr>
                <w:rFonts w:hint="default" w:ascii="Times New Roman" w:hAnsi="Times New Roman" w:cs="Times New Roman"/>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71E69730">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B285E4C">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605763A6">
            <w:pPr>
              <w:spacing w:line="240" w:lineRule="exact"/>
              <w:jc w:val="center"/>
              <w:rPr>
                <w:rFonts w:hint="default" w:ascii="Times New Roman" w:hAnsi="Times New Roman" w:cs="Times New Roman"/>
                <w:sz w:val="21"/>
                <w:szCs w:val="21"/>
              </w:rPr>
            </w:pPr>
          </w:p>
        </w:tc>
      </w:tr>
      <w:tr w14:paraId="028E8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72" w:hRule="atLeast"/>
        </w:trPr>
        <w:tc>
          <w:tcPr>
            <w:tcW w:w="345" w:type="dxa"/>
            <w:tcBorders>
              <w:top w:val="single" w:color="auto" w:sz="4" w:space="0"/>
              <w:left w:val="single" w:color="auto" w:sz="4" w:space="0"/>
              <w:bottom w:val="single" w:color="auto" w:sz="4" w:space="0"/>
              <w:right w:val="single" w:color="auto" w:sz="4" w:space="0"/>
            </w:tcBorders>
            <w:vAlign w:val="center"/>
          </w:tcPr>
          <w:p w14:paraId="2290CA68">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50</w:t>
            </w:r>
          </w:p>
        </w:tc>
        <w:tc>
          <w:tcPr>
            <w:tcW w:w="302" w:type="dxa"/>
            <w:vMerge w:val="restart"/>
            <w:tcBorders>
              <w:top w:val="single" w:color="auto" w:sz="4" w:space="0"/>
              <w:left w:val="single" w:color="auto" w:sz="4" w:space="0"/>
              <w:right w:val="single" w:color="auto" w:sz="4" w:space="0"/>
            </w:tcBorders>
            <w:vAlign w:val="center"/>
          </w:tcPr>
          <w:p w14:paraId="3C3ED408">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涂装与标识</w:t>
            </w:r>
          </w:p>
        </w:tc>
        <w:tc>
          <w:tcPr>
            <w:tcW w:w="226" w:type="dxa"/>
            <w:vMerge w:val="restart"/>
            <w:tcBorders>
              <w:top w:val="single" w:color="auto" w:sz="4" w:space="0"/>
              <w:left w:val="single" w:color="auto" w:sz="4" w:space="0"/>
              <w:right w:val="single" w:color="auto" w:sz="6" w:space="0"/>
            </w:tcBorders>
            <w:vAlign w:val="center"/>
          </w:tcPr>
          <w:p w14:paraId="7D7FF36F">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反光带</w:t>
            </w:r>
          </w:p>
        </w:tc>
        <w:tc>
          <w:tcPr>
            <w:tcW w:w="3372" w:type="dxa"/>
            <w:tcBorders>
              <w:top w:val="single" w:color="auto" w:sz="4" w:space="0"/>
              <w:left w:val="single" w:color="auto" w:sz="6" w:space="0"/>
              <w:bottom w:val="single" w:color="auto" w:sz="4" w:space="0"/>
              <w:right w:val="single" w:color="auto" w:sz="6" w:space="0"/>
            </w:tcBorders>
            <w:vAlign w:val="center"/>
          </w:tcPr>
          <w:p w14:paraId="411AE675">
            <w:pPr>
              <w:pStyle w:val="19"/>
              <w:keepNext w:val="0"/>
              <w:keepLines w:val="0"/>
              <w:pageBreakBefore w:val="0"/>
              <w:widowControl w:val="0"/>
              <w:numPr>
                <w:ilvl w:val="3"/>
                <w:numId w:val="0"/>
              </w:numPr>
              <w:kinsoku/>
              <w:wordWrap/>
              <w:overflowPunct/>
              <w:topLinePunct w:val="0"/>
              <w:autoSpaceDE/>
              <w:autoSpaceDN/>
              <w:bidi w:val="0"/>
              <w:snapToGrid/>
              <w:spacing w:line="260" w:lineRule="exact"/>
              <w:ind w:left="0" w:leftChars="0" w:firstLine="0" w:firstLineChars="0"/>
              <w:rPr>
                <w:rFonts w:hint="default" w:ascii="Times New Roman" w:hAnsi="Times New Roman" w:cs="Times New Roman"/>
                <w:highlight w:val="none"/>
              </w:rPr>
            </w:pPr>
            <w:r>
              <w:rPr>
                <w:rFonts w:hint="default" w:ascii="Times New Roman" w:hAnsi="Times New Roman" w:cs="Times New Roman"/>
                <w:strike w:val="0"/>
                <w:dstrike w:val="0"/>
                <w:highlight w:val="none"/>
              </w:rPr>
              <w:t>EX/Ⅱ型车辆、EX/Ⅲ型车辆、运输剧毒化学品的车辆、运输轻质燃油和用于轻质燃油</w:t>
            </w:r>
            <w:r>
              <w:rPr>
                <w:rFonts w:hint="default" w:ascii="Times New Roman" w:hAnsi="Times New Roman" w:cs="Times New Roman"/>
                <w:strike w:val="0"/>
                <w:dstrike w:val="0"/>
                <w:color w:val="000000"/>
                <w:highlight w:val="none"/>
              </w:rPr>
              <w:t>加油作业</w:t>
            </w:r>
            <w:r>
              <w:rPr>
                <w:rFonts w:hint="default" w:ascii="Times New Roman" w:hAnsi="Times New Roman" w:cs="Times New Roman"/>
                <w:strike w:val="0"/>
                <w:dstrike w:val="0"/>
                <w:highlight w:val="none"/>
              </w:rPr>
              <w:t>的车辆上永久性固定安装的载货装置的后部和两侧，应粘贴橙色反光带</w:t>
            </w:r>
            <w:r>
              <w:rPr>
                <w:rFonts w:hint="default" w:ascii="Times New Roman" w:hAnsi="Times New Roman" w:cs="Times New Roman"/>
                <w:strike w:val="0"/>
                <w:dstrike w:val="0"/>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573F4242">
            <w:pPr>
              <w:pStyle w:val="19"/>
              <w:numPr>
                <w:ilvl w:val="3"/>
                <w:numId w:val="0"/>
              </w:numPr>
              <w:spacing w:line="240" w:lineRule="auto"/>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C47DE30">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1714D50C">
            <w:pPr>
              <w:spacing w:line="240" w:lineRule="exact"/>
              <w:jc w:val="center"/>
              <w:rPr>
                <w:rFonts w:hint="default" w:ascii="Times New Roman" w:hAnsi="Times New Roman" w:cs="Times New Roman"/>
                <w:sz w:val="21"/>
                <w:szCs w:val="21"/>
              </w:rPr>
            </w:pPr>
          </w:p>
        </w:tc>
      </w:tr>
      <w:tr w14:paraId="4BE186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3" w:hRule="atLeast"/>
        </w:trPr>
        <w:tc>
          <w:tcPr>
            <w:tcW w:w="345" w:type="dxa"/>
            <w:tcBorders>
              <w:top w:val="single" w:color="auto" w:sz="4" w:space="0"/>
              <w:left w:val="single" w:color="auto" w:sz="4" w:space="0"/>
              <w:bottom w:val="single" w:color="auto" w:sz="4" w:space="0"/>
              <w:right w:val="single" w:color="auto" w:sz="4" w:space="0"/>
            </w:tcBorders>
            <w:vAlign w:val="center"/>
          </w:tcPr>
          <w:p w14:paraId="5207573F">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51</w:t>
            </w:r>
          </w:p>
        </w:tc>
        <w:tc>
          <w:tcPr>
            <w:tcW w:w="302" w:type="dxa"/>
            <w:vMerge w:val="continue"/>
            <w:tcBorders>
              <w:left w:val="single" w:color="auto" w:sz="4" w:space="0"/>
              <w:right w:val="single" w:color="auto" w:sz="4" w:space="0"/>
            </w:tcBorders>
            <w:vAlign w:val="center"/>
          </w:tcPr>
          <w:p w14:paraId="593FF3CA">
            <w:pPr>
              <w:spacing w:line="240" w:lineRule="exact"/>
              <w:jc w:val="center"/>
              <w:rPr>
                <w:rFonts w:hint="default" w:ascii="Times New Roman" w:hAnsi="Times New Roman" w:cs="Times New Roman"/>
                <w:sz w:val="21"/>
                <w:szCs w:val="21"/>
                <w:lang w:val="en-US" w:eastAsia="zh-CN"/>
              </w:rPr>
            </w:pPr>
          </w:p>
        </w:tc>
        <w:tc>
          <w:tcPr>
            <w:tcW w:w="226" w:type="dxa"/>
            <w:vMerge w:val="continue"/>
            <w:tcBorders>
              <w:left w:val="single" w:color="auto" w:sz="4" w:space="0"/>
              <w:bottom w:val="single" w:color="auto" w:sz="4" w:space="0"/>
              <w:right w:val="single" w:color="auto" w:sz="6" w:space="0"/>
            </w:tcBorders>
            <w:vAlign w:val="center"/>
          </w:tcPr>
          <w:p w14:paraId="14BAFAB9">
            <w:pPr>
              <w:spacing w:line="240" w:lineRule="exact"/>
              <w:jc w:val="center"/>
              <w:rPr>
                <w:rFonts w:hint="default" w:ascii="Times New Roman" w:hAnsi="Times New Roman" w:cs="Times New Roman"/>
                <w:sz w:val="21"/>
                <w:szCs w:val="21"/>
                <w:lang w:val="en-US" w:eastAsia="zh-CN"/>
              </w:rPr>
            </w:pPr>
          </w:p>
        </w:tc>
        <w:tc>
          <w:tcPr>
            <w:tcW w:w="3372" w:type="dxa"/>
            <w:tcBorders>
              <w:top w:val="single" w:color="auto" w:sz="4" w:space="0"/>
              <w:left w:val="single" w:color="auto" w:sz="6" w:space="0"/>
              <w:bottom w:val="single" w:color="auto" w:sz="4" w:space="0"/>
              <w:right w:val="single" w:color="auto" w:sz="6" w:space="0"/>
            </w:tcBorders>
            <w:vAlign w:val="center"/>
          </w:tcPr>
          <w:p w14:paraId="70342D00">
            <w:pPr>
              <w:pStyle w:val="19"/>
              <w:keepNext w:val="0"/>
              <w:keepLines w:val="0"/>
              <w:pageBreakBefore w:val="0"/>
              <w:widowControl w:val="0"/>
              <w:numPr>
                <w:ilvl w:val="3"/>
                <w:numId w:val="0"/>
              </w:numPr>
              <w:kinsoku/>
              <w:wordWrap/>
              <w:overflowPunct/>
              <w:topLinePunct w:val="0"/>
              <w:autoSpaceDE/>
              <w:autoSpaceDN/>
              <w:bidi w:val="0"/>
              <w:snapToGrid/>
              <w:spacing w:line="260" w:lineRule="exact"/>
              <w:ind w:left="0" w:leftChars="0" w:firstLine="0" w:firstLineChars="0"/>
              <w:rPr>
                <w:rFonts w:hint="default" w:ascii="Times New Roman" w:hAnsi="Times New Roman" w:cs="Times New Roman"/>
                <w:highlight w:val="none"/>
              </w:rPr>
            </w:pPr>
            <w:r>
              <w:rPr>
                <w:rFonts w:hint="default" w:ascii="Times New Roman" w:hAnsi="Times New Roman" w:eastAsia="宋体" w:cs="Times New Roman"/>
                <w:strike w:val="0"/>
                <w:dstrike w:val="0"/>
                <w:highlight w:val="none"/>
                <w:lang w:val="en-US" w:eastAsia="zh-CN"/>
              </w:rPr>
              <w:t>橙色反光带应满足 GB11564—2024中 B类反光标识材料的要求。</w:t>
            </w:r>
          </w:p>
        </w:tc>
        <w:tc>
          <w:tcPr>
            <w:tcW w:w="3372" w:type="dxa"/>
            <w:tcBorders>
              <w:top w:val="single" w:color="auto" w:sz="4" w:space="0"/>
              <w:left w:val="single" w:color="auto" w:sz="6" w:space="0"/>
              <w:bottom w:val="single" w:color="auto" w:sz="4" w:space="0"/>
              <w:right w:val="single" w:color="auto" w:sz="6" w:space="0"/>
            </w:tcBorders>
            <w:vAlign w:val="center"/>
          </w:tcPr>
          <w:p w14:paraId="73FA9E9B">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367EA3E">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981A6C1">
            <w:pPr>
              <w:spacing w:line="240" w:lineRule="exact"/>
              <w:jc w:val="center"/>
              <w:rPr>
                <w:rFonts w:hint="default" w:ascii="Times New Roman" w:hAnsi="Times New Roman" w:cs="Times New Roman"/>
                <w:sz w:val="21"/>
                <w:szCs w:val="21"/>
              </w:rPr>
            </w:pPr>
          </w:p>
        </w:tc>
      </w:tr>
      <w:tr w14:paraId="105EB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652" w:hRule="atLeast"/>
        </w:trPr>
        <w:tc>
          <w:tcPr>
            <w:tcW w:w="345" w:type="dxa"/>
            <w:tcBorders>
              <w:top w:val="single" w:color="auto" w:sz="4" w:space="0"/>
              <w:left w:val="single" w:color="auto" w:sz="4" w:space="0"/>
              <w:right w:val="single" w:color="auto" w:sz="4" w:space="0"/>
            </w:tcBorders>
            <w:vAlign w:val="center"/>
          </w:tcPr>
          <w:p w14:paraId="2D0314BB">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52</w:t>
            </w:r>
          </w:p>
        </w:tc>
        <w:tc>
          <w:tcPr>
            <w:tcW w:w="302" w:type="dxa"/>
            <w:vMerge w:val="continue"/>
            <w:tcBorders>
              <w:left w:val="single" w:color="auto" w:sz="4" w:space="0"/>
              <w:right w:val="single" w:color="auto" w:sz="4" w:space="0"/>
            </w:tcBorders>
            <w:vAlign w:val="center"/>
          </w:tcPr>
          <w:p w14:paraId="5CFD44A4">
            <w:pPr>
              <w:spacing w:line="240" w:lineRule="exact"/>
              <w:jc w:val="center"/>
              <w:rPr>
                <w:rFonts w:hint="default" w:ascii="Times New Roman" w:hAnsi="Times New Roman" w:cs="Times New Roman"/>
                <w:sz w:val="21"/>
                <w:szCs w:val="21"/>
                <w:lang w:val="en-US" w:eastAsia="zh-CN"/>
              </w:rPr>
            </w:pPr>
          </w:p>
        </w:tc>
        <w:tc>
          <w:tcPr>
            <w:tcW w:w="226" w:type="dxa"/>
            <w:tcBorders>
              <w:top w:val="single" w:color="auto" w:sz="4" w:space="0"/>
              <w:left w:val="single" w:color="auto" w:sz="4" w:space="0"/>
              <w:right w:val="single" w:color="auto" w:sz="6" w:space="0"/>
            </w:tcBorders>
            <w:vAlign w:val="center"/>
          </w:tcPr>
          <w:p w14:paraId="28E45F6D">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安全标示牌</w:t>
            </w:r>
          </w:p>
        </w:tc>
        <w:tc>
          <w:tcPr>
            <w:tcW w:w="3372" w:type="dxa"/>
            <w:tcBorders>
              <w:top w:val="single" w:color="auto" w:sz="4" w:space="0"/>
              <w:left w:val="single" w:color="auto" w:sz="6" w:space="0"/>
              <w:bottom w:val="single" w:color="auto" w:sz="4" w:space="0"/>
              <w:right w:val="single" w:color="auto" w:sz="6" w:space="0"/>
            </w:tcBorders>
            <w:vAlign w:val="center"/>
          </w:tcPr>
          <w:p w14:paraId="198BAD29">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cs="Times New Roman"/>
                <w:highlight w:val="none"/>
              </w:rPr>
            </w:pPr>
            <w:r>
              <w:rPr>
                <w:rFonts w:hint="default" w:ascii="Times New Roman" w:hAnsi="Times New Roman" w:cs="Times New Roman"/>
                <w:strike w:val="0"/>
                <w:dstrike w:val="0"/>
                <w:highlight w:val="none"/>
              </w:rPr>
              <w:t>EX/Ⅱ型车辆、EX/Ⅲ型车辆、运输剧毒化学品的车辆、运输轻质燃油和用于轻质燃油</w:t>
            </w:r>
            <w:r>
              <w:rPr>
                <w:rFonts w:hint="default" w:ascii="Times New Roman" w:hAnsi="Times New Roman" w:cs="Times New Roman"/>
                <w:strike w:val="0"/>
                <w:dstrike w:val="0"/>
                <w:color w:val="000000"/>
                <w:highlight w:val="none"/>
              </w:rPr>
              <w:t>加油作业</w:t>
            </w:r>
            <w:r>
              <w:rPr>
                <w:rFonts w:hint="default" w:ascii="Times New Roman" w:hAnsi="Times New Roman" w:cs="Times New Roman"/>
                <w:strike w:val="0"/>
                <w:dstrike w:val="0"/>
                <w:highlight w:val="none"/>
              </w:rPr>
              <w:t>的车辆，应安装式样及尺寸符合附录B</w:t>
            </w:r>
            <w:r>
              <w:rPr>
                <w:rFonts w:hint="eastAsia" w:ascii="Times New Roman" w:cs="Times New Roman"/>
                <w:strike w:val="0"/>
                <w:dstrike w:val="0"/>
                <w:highlight w:val="none"/>
                <w:lang w:val="en-US" w:eastAsia="zh-CN"/>
              </w:rPr>
              <w:t>.1、B.2</w:t>
            </w:r>
            <w:r>
              <w:rPr>
                <w:rFonts w:hint="default" w:ascii="Times New Roman" w:hAnsi="Times New Roman" w:cs="Times New Roman"/>
                <w:strike w:val="0"/>
                <w:dstrike w:val="0"/>
                <w:highlight w:val="none"/>
              </w:rPr>
              <w:t>的安全标示牌</w:t>
            </w:r>
            <w:r>
              <w:rPr>
                <w:rFonts w:hint="default" w:ascii="Times New Roman" w:hAnsi="Times New Roman" w:cs="Times New Roman"/>
                <w:strike w:val="0"/>
                <w:dstrike w:val="0"/>
                <w:highlight w:val="none"/>
                <w:lang w:eastAsia="zh-CN"/>
              </w:rPr>
              <w:t>。</w:t>
            </w:r>
          </w:p>
        </w:tc>
        <w:tc>
          <w:tcPr>
            <w:tcW w:w="3372" w:type="dxa"/>
            <w:tcBorders>
              <w:top w:val="single" w:color="auto" w:sz="4" w:space="0"/>
              <w:left w:val="single" w:color="auto" w:sz="6" w:space="0"/>
              <w:bottom w:val="single" w:color="auto" w:sz="4" w:space="0"/>
              <w:right w:val="single" w:color="auto" w:sz="6" w:space="0"/>
            </w:tcBorders>
            <w:vAlign w:val="center"/>
          </w:tcPr>
          <w:p w14:paraId="26EFDCE9">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A8AE156">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9E7B2CA">
            <w:pPr>
              <w:spacing w:line="240" w:lineRule="exact"/>
              <w:jc w:val="center"/>
              <w:rPr>
                <w:rFonts w:hint="default" w:ascii="Times New Roman" w:hAnsi="Times New Roman" w:cs="Times New Roman"/>
                <w:sz w:val="21"/>
                <w:szCs w:val="21"/>
              </w:rPr>
            </w:pPr>
          </w:p>
        </w:tc>
      </w:tr>
    </w:tbl>
    <w:p w14:paraId="05AA2667">
      <w:pPr>
        <w:pStyle w:val="9"/>
        <w:rPr>
          <w:rFonts w:hint="default" w:ascii="Times New Roman" w:hAnsi="Times New Roman" w:cs="Times New Roman"/>
        </w:rPr>
      </w:pPr>
    </w:p>
    <w:p w14:paraId="3A304FCB">
      <w:pPr>
        <w:pStyle w:val="9"/>
        <w:rPr>
          <w:rFonts w:hint="default" w:ascii="Times New Roman" w:hAnsi="Times New Roman" w:cs="Times New Roman"/>
        </w:rPr>
      </w:pPr>
    </w:p>
    <w:p w14:paraId="33642AA3">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6D7BE733">
      <w:pPr>
        <w:spacing w:line="240" w:lineRule="exact"/>
        <w:jc w:val="both"/>
        <w:rPr>
          <w:rFonts w:hint="default" w:ascii="Times New Roman" w:hAnsi="Times New Roman" w:cs="Times New Roman"/>
          <w:kern w:val="2"/>
          <w:sz w:val="21"/>
        </w:rPr>
      </w:pPr>
    </w:p>
    <w:p w14:paraId="6384A2D2">
      <w:pPr>
        <w:pStyle w:val="9"/>
        <w:ind w:left="0" w:leftChars="0" w:firstLine="0" w:firstLineChars="0"/>
        <w:jc w:val="both"/>
        <w:rPr>
          <w:rFonts w:hint="default" w:ascii="Times New Roman" w:hAnsi="Times New Roman" w:cs="Times New Roman"/>
          <w:kern w:val="2"/>
          <w:sz w:val="21"/>
        </w:rPr>
      </w:pPr>
      <w:r>
        <w:rPr>
          <w:rFonts w:hint="default" w:ascii="Times New Roman" w:hAnsi="Times New Roman" w:cs="Times New Roman"/>
          <w:b/>
          <w:lang w:val="en-US" w:eastAsia="zh-CN"/>
        </w:rPr>
        <w:t>1.2 专项安全要求</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28"/>
        <w:gridCol w:w="3520"/>
        <w:gridCol w:w="3224"/>
        <w:gridCol w:w="709"/>
        <w:gridCol w:w="709"/>
      </w:tblGrid>
      <w:tr w14:paraId="3CC0A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3D483030">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tcBorders>
              <w:top w:val="single" w:color="auto" w:sz="4" w:space="0"/>
              <w:left w:val="single" w:color="auto" w:sz="4" w:space="0"/>
              <w:bottom w:val="single" w:color="auto" w:sz="6" w:space="0"/>
              <w:right w:val="single" w:color="auto" w:sz="6" w:space="0"/>
            </w:tcBorders>
            <w:vAlign w:val="center"/>
          </w:tcPr>
          <w:p w14:paraId="5DDAE8F8">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520" w:type="dxa"/>
            <w:tcBorders>
              <w:top w:val="single" w:color="auto" w:sz="4" w:space="0"/>
              <w:left w:val="single" w:color="auto" w:sz="6" w:space="0"/>
              <w:bottom w:val="single" w:color="auto" w:sz="6" w:space="0"/>
              <w:right w:val="single" w:color="auto" w:sz="6" w:space="0"/>
            </w:tcBorders>
            <w:vAlign w:val="center"/>
          </w:tcPr>
          <w:p w14:paraId="71899329">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1440E29E">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181DDCDA">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6B13F002">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6EAA08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84" w:hRule="atLeast"/>
        </w:trPr>
        <w:tc>
          <w:tcPr>
            <w:tcW w:w="345" w:type="dxa"/>
            <w:tcBorders>
              <w:top w:val="single" w:color="auto" w:sz="4" w:space="0"/>
              <w:left w:val="single" w:color="auto" w:sz="4" w:space="0"/>
              <w:bottom w:val="single" w:color="auto" w:sz="4" w:space="0"/>
              <w:right w:val="single" w:color="auto" w:sz="4" w:space="0"/>
            </w:tcBorders>
            <w:vAlign w:val="center"/>
          </w:tcPr>
          <w:p w14:paraId="0CE0AEC3">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53</w:t>
            </w:r>
          </w:p>
        </w:tc>
        <w:tc>
          <w:tcPr>
            <w:tcW w:w="528" w:type="dxa"/>
            <w:vMerge w:val="restart"/>
            <w:tcBorders>
              <w:top w:val="single" w:color="auto" w:sz="4" w:space="0"/>
              <w:left w:val="single" w:color="auto" w:sz="4" w:space="0"/>
              <w:right w:val="single" w:color="auto" w:sz="6" w:space="0"/>
            </w:tcBorders>
            <w:vAlign w:val="center"/>
          </w:tcPr>
          <w:p w14:paraId="0BB4BCED">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EX/Ⅱ和EX/Ⅲ型车辆专项要求</w:t>
            </w:r>
          </w:p>
        </w:tc>
        <w:tc>
          <w:tcPr>
            <w:tcW w:w="3520" w:type="dxa"/>
            <w:tcBorders>
              <w:top w:val="single" w:color="auto" w:sz="4" w:space="0"/>
              <w:left w:val="single" w:color="auto" w:sz="6" w:space="0"/>
              <w:bottom w:val="single" w:color="auto" w:sz="4" w:space="0"/>
              <w:right w:val="single" w:color="auto" w:sz="6" w:space="0"/>
            </w:tcBorders>
            <w:vAlign w:val="center"/>
          </w:tcPr>
          <w:p w14:paraId="2CB99879">
            <w:pPr>
              <w:pStyle w:val="19"/>
              <w:numPr>
                <w:ilvl w:val="3"/>
                <w:numId w:val="0"/>
              </w:numPr>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燃烧加热器只能用于加热乘员舱或发动机。燃烧加热器本体及其有关的任何辅助运行的部件，不应安装在载货区域内。</w:t>
            </w:r>
          </w:p>
        </w:tc>
        <w:tc>
          <w:tcPr>
            <w:tcW w:w="3224" w:type="dxa"/>
            <w:tcBorders>
              <w:top w:val="single" w:color="auto" w:sz="4" w:space="0"/>
              <w:left w:val="single" w:color="auto" w:sz="6" w:space="0"/>
              <w:bottom w:val="single" w:color="auto" w:sz="4" w:space="0"/>
              <w:right w:val="single" w:color="auto" w:sz="6" w:space="0"/>
            </w:tcBorders>
            <w:vAlign w:val="center"/>
          </w:tcPr>
          <w:p w14:paraId="7801C82B">
            <w:pPr>
              <w:pStyle w:val="19"/>
              <w:numPr>
                <w:ilvl w:val="3"/>
                <w:numId w:val="0"/>
              </w:numPr>
              <w:spacing w:line="240" w:lineRule="auto"/>
              <w:ind w:left="0" w:leftChars="0" w:firstLine="0" w:firstLineChars="0"/>
              <w:rPr>
                <w:rFonts w:hint="default"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44B35D0">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556EEB05">
            <w:pPr>
              <w:spacing w:line="240" w:lineRule="exact"/>
              <w:jc w:val="center"/>
              <w:rPr>
                <w:rFonts w:hint="default" w:ascii="Times New Roman" w:hAnsi="Times New Roman" w:cs="Times New Roman"/>
                <w:sz w:val="21"/>
                <w:szCs w:val="21"/>
              </w:rPr>
            </w:pPr>
          </w:p>
        </w:tc>
      </w:tr>
      <w:tr w14:paraId="37CCB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8" w:hRule="atLeast"/>
        </w:trPr>
        <w:tc>
          <w:tcPr>
            <w:tcW w:w="345" w:type="dxa"/>
            <w:tcBorders>
              <w:top w:val="single" w:color="auto" w:sz="4" w:space="0"/>
              <w:left w:val="single" w:color="auto" w:sz="4" w:space="0"/>
              <w:bottom w:val="single" w:color="auto" w:sz="4" w:space="0"/>
              <w:right w:val="single" w:color="auto" w:sz="4" w:space="0"/>
            </w:tcBorders>
            <w:vAlign w:val="center"/>
          </w:tcPr>
          <w:p w14:paraId="7A844039">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54</w:t>
            </w:r>
          </w:p>
        </w:tc>
        <w:tc>
          <w:tcPr>
            <w:tcW w:w="528" w:type="dxa"/>
            <w:vMerge w:val="continue"/>
            <w:tcBorders>
              <w:left w:val="single" w:color="auto" w:sz="4" w:space="0"/>
              <w:right w:val="single" w:color="auto" w:sz="6" w:space="0"/>
            </w:tcBorders>
            <w:vAlign w:val="center"/>
          </w:tcPr>
          <w:p w14:paraId="23D37948">
            <w:pPr>
              <w:spacing w:line="240" w:lineRule="exact"/>
              <w:jc w:val="center"/>
              <w:rPr>
                <w:rFonts w:hint="default" w:ascii="Times New Roman" w:hAnsi="Times New Roman" w:eastAsia="宋体"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254CCCB2">
            <w:pPr>
              <w:pStyle w:val="19"/>
              <w:numPr>
                <w:ilvl w:val="3"/>
                <w:numId w:val="0"/>
              </w:numPr>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车辆发动机应放置在载货装置前壁的前方。</w:t>
            </w:r>
          </w:p>
        </w:tc>
        <w:tc>
          <w:tcPr>
            <w:tcW w:w="3224" w:type="dxa"/>
            <w:tcBorders>
              <w:top w:val="single" w:color="auto" w:sz="4" w:space="0"/>
              <w:left w:val="single" w:color="auto" w:sz="6" w:space="0"/>
              <w:bottom w:val="single" w:color="auto" w:sz="4" w:space="0"/>
              <w:right w:val="single" w:color="auto" w:sz="6" w:space="0"/>
            </w:tcBorders>
            <w:vAlign w:val="center"/>
          </w:tcPr>
          <w:p w14:paraId="35CA7CB6">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B1AA09D">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72213BA0">
            <w:pPr>
              <w:spacing w:line="240" w:lineRule="exact"/>
              <w:jc w:val="center"/>
              <w:rPr>
                <w:rFonts w:hint="default" w:ascii="Times New Roman" w:hAnsi="Times New Roman" w:cs="Times New Roman"/>
                <w:sz w:val="21"/>
                <w:szCs w:val="21"/>
              </w:rPr>
            </w:pPr>
          </w:p>
        </w:tc>
      </w:tr>
      <w:tr w14:paraId="4B0776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375" w:hRule="atLeast"/>
        </w:trPr>
        <w:tc>
          <w:tcPr>
            <w:tcW w:w="345" w:type="dxa"/>
            <w:tcBorders>
              <w:top w:val="single" w:color="auto" w:sz="4" w:space="0"/>
              <w:left w:val="single" w:color="auto" w:sz="4" w:space="0"/>
              <w:bottom w:val="single" w:color="auto" w:sz="4" w:space="0"/>
              <w:right w:val="single" w:color="auto" w:sz="4" w:space="0"/>
            </w:tcBorders>
            <w:vAlign w:val="center"/>
          </w:tcPr>
          <w:p w14:paraId="2900B2F2">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55</w:t>
            </w:r>
          </w:p>
        </w:tc>
        <w:tc>
          <w:tcPr>
            <w:tcW w:w="528" w:type="dxa"/>
            <w:vMerge w:val="continue"/>
            <w:tcBorders>
              <w:left w:val="single" w:color="auto" w:sz="4" w:space="0"/>
              <w:right w:val="single" w:color="auto" w:sz="6" w:space="0"/>
            </w:tcBorders>
            <w:vAlign w:val="center"/>
          </w:tcPr>
          <w:p w14:paraId="236743F1">
            <w:pPr>
              <w:spacing w:line="240" w:lineRule="exact"/>
              <w:jc w:val="center"/>
              <w:rPr>
                <w:rFonts w:hint="default" w:ascii="Times New Roman" w:hAnsi="Times New Roman" w:eastAsia="宋体"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15FC4BD4">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default" w:ascii="Times New Roman" w:hAnsi="Times New Roman" w:eastAsia="宋体" w:cs="Times New Roman"/>
                <w:highlight w:val="none"/>
                <w:lang w:eastAsia="zh-CN"/>
              </w:rPr>
            </w:pPr>
            <w:r>
              <w:rPr>
                <w:rFonts w:hint="default" w:ascii="Times New Roman" w:hAnsi="Times New Roman" w:cs="Times New Roman"/>
                <w:highlight w:val="none"/>
              </w:rPr>
              <w:t>配备车用起重尾板时，起重尾板的平台承载面应铺设阻燃导静电胶板，胶板厚度应不小于5 mm，导静电胶板任意一点与导静电橡胶拖地带之间的电阻值应为10</w:t>
            </w:r>
            <w:r>
              <w:rPr>
                <w:rFonts w:hint="default" w:ascii="Times New Roman" w:hAnsi="Times New Roman" w:cs="Times New Roman"/>
                <w:highlight w:val="none"/>
                <w:vertAlign w:val="superscript"/>
              </w:rPr>
              <w:t>4</w:t>
            </w:r>
            <w:r>
              <w:rPr>
                <w:rFonts w:hint="default" w:ascii="Times New Roman" w:hAnsi="Times New Roman" w:cs="Times New Roman"/>
                <w:highlight w:val="none"/>
              </w:rPr>
              <w:t>Ω～10</w:t>
            </w:r>
            <w:r>
              <w:rPr>
                <w:rFonts w:hint="default" w:ascii="Times New Roman" w:hAnsi="Times New Roman" w:cs="Times New Roman"/>
                <w:highlight w:val="none"/>
                <w:vertAlign w:val="superscript"/>
              </w:rPr>
              <w:t>8</w:t>
            </w:r>
            <w:r>
              <w:rPr>
                <w:rFonts w:hint="default" w:ascii="Times New Roman" w:hAnsi="Times New Roman" w:cs="Times New Roman"/>
                <w:highlight w:val="none"/>
              </w:rPr>
              <w:t>Ω；起重尾板平台承载面采用有色金属材料时，</w:t>
            </w:r>
            <w:r>
              <w:rPr>
                <w:rFonts w:hint="eastAsia" w:ascii="Times New Roman" w:cs="Times New Roman"/>
                <w:highlight w:val="none"/>
                <w:lang w:val="en-US" w:eastAsia="zh-CN"/>
              </w:rPr>
              <w:t>准许</w:t>
            </w:r>
            <w:r>
              <w:rPr>
                <w:rFonts w:hint="default" w:ascii="Times New Roman" w:hAnsi="Times New Roman" w:cs="Times New Roman"/>
                <w:highlight w:val="none"/>
              </w:rPr>
              <w:t>不铺设阻燃导静电胶板</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41E6878D">
            <w:pPr>
              <w:pStyle w:val="19"/>
              <w:numPr>
                <w:ilvl w:val="3"/>
                <w:numId w:val="0"/>
              </w:numPr>
              <w:spacing w:line="240" w:lineRule="auto"/>
              <w:ind w:left="0" w:leftChars="0" w:firstLine="0" w:firstLineChars="0"/>
              <w:rPr>
                <w:rFonts w:hint="default" w:ascii="Times New Roman" w:hAnsi="Times New Roman" w:eastAsia="宋体" w:cs="Times New Roman"/>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84A719F">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2A527F80">
            <w:pPr>
              <w:spacing w:line="240" w:lineRule="exact"/>
              <w:jc w:val="center"/>
              <w:rPr>
                <w:rFonts w:hint="default" w:ascii="Times New Roman" w:hAnsi="Times New Roman" w:cs="Times New Roman"/>
                <w:sz w:val="21"/>
                <w:szCs w:val="21"/>
              </w:rPr>
            </w:pPr>
          </w:p>
        </w:tc>
      </w:tr>
      <w:tr w14:paraId="6CF2B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27" w:hRule="atLeast"/>
        </w:trPr>
        <w:tc>
          <w:tcPr>
            <w:tcW w:w="345" w:type="dxa"/>
            <w:tcBorders>
              <w:top w:val="single" w:color="auto" w:sz="4" w:space="0"/>
              <w:left w:val="single" w:color="auto" w:sz="4" w:space="0"/>
              <w:bottom w:val="single" w:color="auto" w:sz="4" w:space="0"/>
              <w:right w:val="single" w:color="auto" w:sz="4" w:space="0"/>
            </w:tcBorders>
            <w:vAlign w:val="center"/>
          </w:tcPr>
          <w:p w14:paraId="699346EE">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56</w:t>
            </w:r>
          </w:p>
        </w:tc>
        <w:tc>
          <w:tcPr>
            <w:tcW w:w="528" w:type="dxa"/>
            <w:vMerge w:val="continue"/>
            <w:tcBorders>
              <w:left w:val="single" w:color="auto" w:sz="4" w:space="0"/>
              <w:bottom w:val="single" w:color="auto" w:sz="4" w:space="0"/>
              <w:right w:val="single" w:color="auto" w:sz="6" w:space="0"/>
            </w:tcBorders>
            <w:vAlign w:val="center"/>
          </w:tcPr>
          <w:p w14:paraId="665AF577">
            <w:pPr>
              <w:spacing w:line="240" w:lineRule="exact"/>
              <w:jc w:val="center"/>
              <w:rPr>
                <w:rFonts w:hint="default" w:ascii="Times New Roman" w:hAnsi="Times New Roman" w:eastAsia="宋体"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20BBED19">
            <w:pPr>
              <w:pStyle w:val="19"/>
              <w:numPr>
                <w:ilvl w:val="3"/>
                <w:numId w:val="0"/>
              </w:numPr>
              <w:ind w:leftChars="0"/>
              <w:rPr>
                <w:rFonts w:hint="eastAsia" w:ascii="Times New Roman" w:hAnsi="Times New Roman" w:eastAsia="宋体" w:cs="Times New Roman"/>
                <w:highlight w:val="none"/>
                <w:lang w:val="en-US" w:eastAsia="zh-CN"/>
              </w:rPr>
            </w:pPr>
            <w:r>
              <w:rPr>
                <w:rFonts w:hint="default" w:ascii="Times New Roman" w:hAnsi="Times New Roman" w:cs="Times New Roman"/>
                <w:highlight w:val="none"/>
              </w:rPr>
              <w:t>车辆的报警监控系统要求如下</w:t>
            </w:r>
            <w:r>
              <w:rPr>
                <w:rFonts w:hint="eastAsia" w:ascii="Times New Roman" w:cs="Times New Roman"/>
                <w:highlight w:val="none"/>
                <w:lang w:val="en-US" w:eastAsia="zh-CN"/>
              </w:rPr>
              <w:t>所列。</w:t>
            </w:r>
          </w:p>
          <w:p w14:paraId="332D259B">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应安装烟火报警系统。感烟火灾探测器应设在货厢内，报警蜂鸣器应设在驾驶室内，且感烟火灾探测器应符合GB 4715的规定；</w:t>
            </w:r>
          </w:p>
          <w:p w14:paraId="3C38EA69">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货厢门应安装防盗报警系统，防盗报警触发装置应设在货厢门上，报警蜂鸣器应设在驾驶室内，当有门被非正常打开时，防盗报警器应在10s内响起；</w:t>
            </w:r>
          </w:p>
          <w:p w14:paraId="71E2490E">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c）</w:t>
            </w:r>
            <w:r>
              <w:rPr>
                <w:rFonts w:hint="default" w:ascii="Times New Roman" w:hAnsi="Times New Roman" w:cs="Times New Roman"/>
                <w:highlight w:val="none"/>
              </w:rPr>
              <w:t>所有报警系统应不受电源总开关的控制，报警音响声级应大于或等于100dB（A）；</w:t>
            </w:r>
          </w:p>
          <w:p w14:paraId="128688F5">
            <w:pPr>
              <w:pStyle w:val="21"/>
              <w:numPr>
                <w:ilvl w:val="0"/>
                <w:numId w:val="0"/>
              </w:numPr>
              <w:rPr>
                <w:rFonts w:hint="default" w:ascii="Times New Roman" w:hAnsi="Times New Roman" w:eastAsia="宋体" w:cs="Times New Roman"/>
                <w:highlight w:val="none"/>
                <w:lang w:eastAsia="zh-CN"/>
              </w:rPr>
            </w:pPr>
            <w:r>
              <w:rPr>
                <w:rFonts w:hint="default" w:ascii="Times New Roman" w:hAnsi="Times New Roman" w:cs="Times New Roman"/>
                <w:highlight w:val="none"/>
                <w:lang w:val="en-US" w:eastAsia="zh-CN"/>
              </w:rPr>
              <w:t>d）</w:t>
            </w:r>
            <w:r>
              <w:rPr>
                <w:rFonts w:hint="default" w:ascii="Times New Roman" w:hAnsi="Times New Roman" w:cs="Times New Roman"/>
                <w:highlight w:val="none"/>
              </w:rPr>
              <w:t>总质量大于或等于7500 kg的车辆应安装尾部视频监控系统，视频摄像头应设在货厢外后部上端，对车辆尾部货厢门状态进行监控。</w:t>
            </w:r>
          </w:p>
        </w:tc>
        <w:tc>
          <w:tcPr>
            <w:tcW w:w="3224" w:type="dxa"/>
            <w:tcBorders>
              <w:top w:val="single" w:color="auto" w:sz="4" w:space="0"/>
              <w:left w:val="single" w:color="auto" w:sz="6" w:space="0"/>
              <w:bottom w:val="single" w:color="auto" w:sz="4" w:space="0"/>
              <w:right w:val="single" w:color="auto" w:sz="6" w:space="0"/>
            </w:tcBorders>
            <w:vAlign w:val="center"/>
          </w:tcPr>
          <w:p w14:paraId="186D9D6E">
            <w:pPr>
              <w:pStyle w:val="21"/>
              <w:numPr>
                <w:ilvl w:val="0"/>
                <w:numId w:val="0"/>
              </w:numPr>
              <w:ind w:left="0" w:leftChars="0" w:firstLine="0" w:firstLineChars="0"/>
              <w:rPr>
                <w:rFonts w:hint="default" w:ascii="Times New Roman" w:hAnsi="Times New Roman" w:cs="Times New Roman"/>
              </w:rPr>
            </w:pPr>
          </w:p>
        </w:tc>
        <w:tc>
          <w:tcPr>
            <w:tcW w:w="709" w:type="dxa"/>
            <w:tcBorders>
              <w:top w:val="single" w:color="auto" w:sz="4" w:space="0"/>
              <w:left w:val="single" w:color="auto" w:sz="6" w:space="0"/>
              <w:bottom w:val="single" w:color="auto" w:sz="4" w:space="0"/>
              <w:right w:val="single" w:color="auto" w:sz="4" w:space="0"/>
            </w:tcBorders>
            <w:vAlign w:val="center"/>
          </w:tcPr>
          <w:p w14:paraId="5E471B44">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78839352">
            <w:pPr>
              <w:spacing w:line="240" w:lineRule="exact"/>
              <w:jc w:val="center"/>
              <w:rPr>
                <w:rFonts w:hint="default" w:ascii="Times New Roman" w:hAnsi="Times New Roman" w:cs="Times New Roman"/>
                <w:sz w:val="21"/>
                <w:szCs w:val="21"/>
              </w:rPr>
            </w:pPr>
          </w:p>
        </w:tc>
      </w:tr>
    </w:tbl>
    <w:p w14:paraId="7B06852E">
      <w:pPr>
        <w:spacing w:line="240" w:lineRule="exact"/>
        <w:jc w:val="both"/>
        <w:rPr>
          <w:rFonts w:hint="default" w:ascii="Times New Roman" w:hAnsi="Times New Roman" w:cs="Times New Roman"/>
          <w:sz w:val="21"/>
          <w:szCs w:val="21"/>
        </w:rPr>
      </w:pPr>
    </w:p>
    <w:p w14:paraId="41536FBA">
      <w:pPr>
        <w:spacing w:line="240" w:lineRule="exact"/>
        <w:jc w:val="both"/>
        <w:rPr>
          <w:rFonts w:hint="default" w:ascii="Times New Roman" w:hAnsi="Times New Roman" w:cs="Times New Roman"/>
          <w:sz w:val="21"/>
          <w:szCs w:val="21"/>
        </w:rPr>
      </w:pPr>
    </w:p>
    <w:p w14:paraId="20B666D5">
      <w:pPr>
        <w:pStyle w:val="9"/>
        <w:rPr>
          <w:rFonts w:hint="default" w:ascii="Times New Roman" w:hAnsi="Times New Roman" w:cs="Times New Roman"/>
        </w:rPr>
      </w:pPr>
    </w:p>
    <w:p w14:paraId="626994B9">
      <w:pPr>
        <w:spacing w:line="240" w:lineRule="exact"/>
        <w:jc w:val="both"/>
        <w:rPr>
          <w:rFonts w:hint="default" w:ascii="Times New Roman" w:hAnsi="Times New Roman" w:cs="Times New Roman"/>
          <w:sz w:val="21"/>
          <w:szCs w:val="21"/>
        </w:rPr>
      </w:pPr>
    </w:p>
    <w:p w14:paraId="77C54E07">
      <w:pPr>
        <w:rPr>
          <w:rFonts w:hint="default"/>
        </w:rPr>
      </w:pPr>
      <w:r>
        <w:rPr>
          <w:rFonts w:hint="default"/>
        </w:rPr>
        <w:br w:type="page"/>
      </w:r>
    </w:p>
    <w:p w14:paraId="2546B3C4">
      <w:pPr>
        <w:spacing w:line="240" w:lineRule="exact"/>
        <w:jc w:val="both"/>
        <w:rPr>
          <w:rFonts w:hint="default" w:ascii="Times New Roman" w:hAnsi="Times New Roman" w:cs="Times New Roman"/>
          <w:kern w:val="2"/>
          <w:sz w:val="21"/>
        </w:rPr>
      </w:pPr>
    </w:p>
    <w:p w14:paraId="373608C3">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726"/>
        <w:gridCol w:w="3322"/>
        <w:gridCol w:w="3224"/>
        <w:gridCol w:w="709"/>
        <w:gridCol w:w="709"/>
      </w:tblGrid>
      <w:tr w14:paraId="678F53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0F3B460B">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726" w:type="dxa"/>
            <w:tcBorders>
              <w:top w:val="single" w:color="auto" w:sz="4" w:space="0"/>
              <w:left w:val="single" w:color="auto" w:sz="4" w:space="0"/>
              <w:bottom w:val="single" w:color="auto" w:sz="6" w:space="0"/>
              <w:right w:val="single" w:color="auto" w:sz="6" w:space="0"/>
            </w:tcBorders>
            <w:vAlign w:val="center"/>
          </w:tcPr>
          <w:p w14:paraId="6BC37702">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322" w:type="dxa"/>
            <w:tcBorders>
              <w:top w:val="single" w:color="auto" w:sz="4" w:space="0"/>
              <w:left w:val="single" w:color="auto" w:sz="6" w:space="0"/>
              <w:bottom w:val="single" w:color="auto" w:sz="6" w:space="0"/>
              <w:right w:val="single" w:color="auto" w:sz="6" w:space="0"/>
            </w:tcBorders>
            <w:vAlign w:val="center"/>
          </w:tcPr>
          <w:p w14:paraId="61F35DE6">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6B70C081">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75E8D39C">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42845017">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79F13E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36" w:hRule="atLeast"/>
        </w:trPr>
        <w:tc>
          <w:tcPr>
            <w:tcW w:w="345" w:type="dxa"/>
            <w:tcBorders>
              <w:left w:val="single" w:color="auto" w:sz="4" w:space="0"/>
              <w:bottom w:val="single" w:color="auto" w:sz="4" w:space="0"/>
              <w:right w:val="single" w:color="auto" w:sz="4" w:space="0"/>
            </w:tcBorders>
            <w:vAlign w:val="center"/>
          </w:tcPr>
          <w:p w14:paraId="2E880CC4">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57</w:t>
            </w:r>
          </w:p>
        </w:tc>
        <w:tc>
          <w:tcPr>
            <w:tcW w:w="726" w:type="dxa"/>
            <w:vMerge w:val="restart"/>
            <w:tcBorders>
              <w:left w:val="single" w:color="auto" w:sz="4" w:space="0"/>
              <w:right w:val="single" w:color="auto" w:sz="6" w:space="0"/>
            </w:tcBorders>
            <w:vAlign w:val="center"/>
          </w:tcPr>
          <w:p w14:paraId="0F20D4A1">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EX/Ⅱ和EX/Ⅲ型车辆专项要求</w:t>
            </w:r>
          </w:p>
          <w:p w14:paraId="298DDE0D">
            <w:pPr>
              <w:spacing w:line="240" w:lineRule="exact"/>
              <w:jc w:val="center"/>
              <w:rPr>
                <w:rFonts w:hint="default" w:ascii="Times New Roman" w:hAnsi="Times New Roman" w:eastAsia="宋体" w:cs="Times New Roman"/>
                <w:sz w:val="21"/>
                <w:szCs w:val="21"/>
                <w:lang w:val="en-US" w:eastAsia="zh-CN"/>
              </w:rPr>
            </w:pPr>
          </w:p>
        </w:tc>
        <w:tc>
          <w:tcPr>
            <w:tcW w:w="3322" w:type="dxa"/>
            <w:tcBorders>
              <w:top w:val="single" w:color="auto" w:sz="4" w:space="0"/>
              <w:left w:val="single" w:color="auto" w:sz="6" w:space="0"/>
              <w:bottom w:val="single" w:color="auto" w:sz="4" w:space="0"/>
              <w:right w:val="single" w:color="auto" w:sz="6" w:space="0"/>
            </w:tcBorders>
            <w:vAlign w:val="center"/>
          </w:tcPr>
          <w:p w14:paraId="7B6F908D">
            <w:pPr>
              <w:pStyle w:val="19"/>
              <w:numPr>
                <w:ilvl w:val="3"/>
                <w:numId w:val="0"/>
              </w:numPr>
              <w:ind w:leftChars="0"/>
              <w:rPr>
                <w:rFonts w:hint="eastAsia" w:ascii="Times New Roman" w:hAnsi="Times New Roman" w:eastAsia="宋体" w:cs="Times New Roman"/>
                <w:highlight w:val="none"/>
                <w:lang w:val="en-US" w:eastAsia="zh-CN"/>
              </w:rPr>
            </w:pPr>
            <w:r>
              <w:rPr>
                <w:rFonts w:hint="default" w:ascii="Times New Roman" w:hAnsi="Times New Roman" w:cs="Times New Roman"/>
                <w:highlight w:val="none"/>
              </w:rPr>
              <w:t>货厢要求如下</w:t>
            </w:r>
            <w:r>
              <w:rPr>
                <w:rFonts w:hint="eastAsia" w:ascii="Times New Roman" w:cs="Times New Roman"/>
                <w:highlight w:val="none"/>
                <w:lang w:val="en-US" w:eastAsia="zh-CN"/>
              </w:rPr>
              <w:t>所列。</w:t>
            </w:r>
          </w:p>
          <w:p w14:paraId="37623EAD">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货厢应为整体封闭结构，货厢侧壁或前后壁板应根据需要设置具有防雨功能的通风窗；</w:t>
            </w:r>
          </w:p>
          <w:p w14:paraId="39AB89A1">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制造货厢的材料不应与所运输的物质发生反应形成危险混合物；</w:t>
            </w:r>
          </w:p>
          <w:p w14:paraId="6BC202EE">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c）</w:t>
            </w:r>
            <w:r>
              <w:rPr>
                <w:rFonts w:hint="default" w:ascii="Times New Roman" w:hAnsi="Times New Roman" w:cs="Times New Roman"/>
                <w:highlight w:val="none"/>
              </w:rPr>
              <w:t>货厢的所有开口都应是可锁闭的、可紧密关闭的门或刚性盖；</w:t>
            </w:r>
          </w:p>
          <w:p w14:paraId="5BCD6B54">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d）</w:t>
            </w:r>
            <w:r>
              <w:rPr>
                <w:rFonts w:hint="default" w:ascii="Times New Roman" w:hAnsi="Times New Roman" w:cs="Times New Roman"/>
                <w:highlight w:val="none"/>
              </w:rPr>
              <w:t>货厢内不应敷设电气线路；</w:t>
            </w:r>
          </w:p>
          <w:p w14:paraId="2120EA78">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e）</w:t>
            </w:r>
            <w:r>
              <w:rPr>
                <w:rFonts w:hint="default" w:ascii="Times New Roman" w:hAnsi="Times New Roman" w:cs="Times New Roman"/>
                <w:highlight w:val="none"/>
              </w:rPr>
              <w:t>安装在货厢内部的电气装置应至少具备GB/T 4208规定的IP54防护等级。若车辆准运范围包括GB 6944—20</w:t>
            </w:r>
            <w:r>
              <w:rPr>
                <w:rFonts w:hint="eastAsia" w:ascii="Times New Roman" w:cs="Times New Roman"/>
                <w:highlight w:val="none"/>
                <w:lang w:val="en-US" w:eastAsia="zh-CN"/>
              </w:rPr>
              <w:t>25中</w:t>
            </w:r>
            <w:r>
              <w:rPr>
                <w:rFonts w:hint="default" w:ascii="Times New Roman" w:hAnsi="Times New Roman" w:cs="Times New Roman"/>
                <w:highlight w:val="none"/>
              </w:rPr>
              <w:t>表</w:t>
            </w:r>
            <w:r>
              <w:rPr>
                <w:rFonts w:hint="eastAsia" w:ascii="Times New Roman" w:cs="Times New Roman"/>
                <w:highlight w:val="none"/>
                <w:lang w:val="en-US" w:eastAsia="zh-CN"/>
              </w:rPr>
              <w:t>2</w:t>
            </w:r>
            <w:r>
              <w:rPr>
                <w:rFonts w:hint="default" w:ascii="Times New Roman" w:hAnsi="Times New Roman" w:cs="Times New Roman"/>
                <w:highlight w:val="none"/>
              </w:rPr>
              <w:t>规定的配装组J货物，防护能力应至少为IP65或等效的防护措施；</w:t>
            </w:r>
          </w:p>
          <w:p w14:paraId="25D5449D">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f）</w:t>
            </w:r>
            <w:r>
              <w:rPr>
                <w:rFonts w:hint="default" w:ascii="Times New Roman" w:hAnsi="Times New Roman" w:cs="Times New Roman"/>
                <w:highlight w:val="none"/>
              </w:rPr>
              <w:t>货厢内蒙皮应采用有色金属或不易发火的非金属材料。货厢所有面板内外蒙皮之间应采用阻燃隔热材料填充，材料的燃烧性能等级应不低于GB 8624</w:t>
            </w:r>
            <w:r>
              <w:rPr>
                <w:rFonts w:hint="default" w:ascii="Times New Roman" w:hAnsi="Times New Roman" w:cs="Times New Roman"/>
                <w:highlight w:val="none"/>
                <w:lang w:val="en-US" w:eastAsia="zh-CN"/>
              </w:rPr>
              <w:t>—2012规定的</w:t>
            </w:r>
            <w:r>
              <w:rPr>
                <w:rFonts w:hint="default" w:ascii="Times New Roman" w:hAnsi="Times New Roman" w:cs="Times New Roman"/>
                <w:highlight w:val="none"/>
              </w:rPr>
              <w:t xml:space="preserve"> B</w:t>
            </w:r>
            <w:r>
              <w:rPr>
                <w:rFonts w:hint="default" w:ascii="Times New Roman" w:hAnsi="Times New Roman" w:cs="Times New Roman"/>
                <w:highlight w:val="none"/>
                <w:vertAlign w:val="subscript"/>
              </w:rPr>
              <w:t>1</w:t>
            </w:r>
            <w:r>
              <w:rPr>
                <w:rFonts w:hint="default" w:ascii="Times New Roman" w:hAnsi="Times New Roman" w:cs="Times New Roman"/>
                <w:highlight w:val="none"/>
              </w:rPr>
              <w:t>（B-s3，d2），阻燃隔热材料的厚度应大于或等于10 mm；</w:t>
            </w:r>
          </w:p>
          <w:p w14:paraId="6C4D98DE">
            <w:pPr>
              <w:pStyle w:val="19"/>
              <w:keepNext w:val="0"/>
              <w:keepLines w:val="0"/>
              <w:pageBreakBefore w:val="0"/>
              <w:numPr>
                <w:ilvl w:val="3"/>
                <w:numId w:val="0"/>
              </w:numPr>
              <w:kinsoku/>
              <w:wordWrap/>
              <w:overflowPunct/>
              <w:topLinePunct w:val="0"/>
              <w:autoSpaceDE/>
              <w:autoSpaceDN/>
              <w:bidi w:val="0"/>
              <w:snapToGrid/>
              <w:spacing w:line="240" w:lineRule="auto"/>
              <w:ind w:leftChars="0"/>
              <w:rPr>
                <w:rFonts w:hint="eastAsia"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g）</w:t>
            </w:r>
            <w:r>
              <w:rPr>
                <w:rFonts w:hint="default" w:ascii="Times New Roman" w:hAnsi="Times New Roman" w:cs="Times New Roman"/>
                <w:highlight w:val="none"/>
              </w:rPr>
              <w:t>EX/Ⅲ型车辆的货厢内货物承载面必须是连续水平的。货厢内的固定紧固装置在使用过程中不应产生火花、静电等</w:t>
            </w:r>
            <w:r>
              <w:rPr>
                <w:rFonts w:hint="eastAsia" w:asci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35F4824D">
            <w:pPr>
              <w:pStyle w:val="19"/>
              <w:numPr>
                <w:ilvl w:val="3"/>
                <w:numId w:val="0"/>
              </w:numPr>
              <w:spacing w:line="240" w:lineRule="auto"/>
              <w:ind w:left="0" w:leftChars="0" w:firstLine="0" w:firstLineChars="0"/>
              <w:rPr>
                <w:rFonts w:hint="eastAsia" w:ascii="Times New Roman" w:hAnsi="Times New Roman" w:eastAsia="宋体"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C1FBCF3">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C019085">
            <w:pPr>
              <w:spacing w:line="240" w:lineRule="exact"/>
              <w:jc w:val="center"/>
              <w:rPr>
                <w:rFonts w:hint="default" w:ascii="Times New Roman" w:hAnsi="Times New Roman" w:cs="Times New Roman"/>
                <w:sz w:val="21"/>
                <w:szCs w:val="21"/>
              </w:rPr>
            </w:pPr>
          </w:p>
        </w:tc>
      </w:tr>
      <w:tr w14:paraId="30D21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626" w:hRule="atLeast"/>
        </w:trPr>
        <w:tc>
          <w:tcPr>
            <w:tcW w:w="345" w:type="dxa"/>
            <w:tcBorders>
              <w:top w:val="single" w:color="auto" w:sz="4" w:space="0"/>
              <w:left w:val="single" w:color="auto" w:sz="4" w:space="0"/>
              <w:bottom w:val="single" w:color="auto" w:sz="4" w:space="0"/>
              <w:right w:val="single" w:color="auto" w:sz="4" w:space="0"/>
            </w:tcBorders>
            <w:vAlign w:val="center"/>
          </w:tcPr>
          <w:p w14:paraId="63B2FF9A">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58</w:t>
            </w:r>
          </w:p>
        </w:tc>
        <w:tc>
          <w:tcPr>
            <w:tcW w:w="726" w:type="dxa"/>
            <w:vMerge w:val="continue"/>
            <w:tcBorders>
              <w:left w:val="single" w:color="auto" w:sz="4" w:space="0"/>
              <w:right w:val="single" w:color="auto" w:sz="6" w:space="0"/>
            </w:tcBorders>
            <w:vAlign w:val="center"/>
          </w:tcPr>
          <w:p w14:paraId="687F20B8">
            <w:pPr>
              <w:spacing w:line="240" w:lineRule="exact"/>
              <w:jc w:val="center"/>
              <w:rPr>
                <w:rFonts w:hint="default" w:ascii="Times New Roman" w:hAnsi="Times New Roman" w:eastAsia="宋体" w:cs="Times New Roman"/>
                <w:sz w:val="21"/>
                <w:szCs w:val="21"/>
                <w:lang w:val="en-US" w:eastAsia="zh-CN"/>
              </w:rPr>
            </w:pPr>
          </w:p>
        </w:tc>
        <w:tc>
          <w:tcPr>
            <w:tcW w:w="3322" w:type="dxa"/>
            <w:tcBorders>
              <w:top w:val="single" w:color="auto" w:sz="4" w:space="0"/>
              <w:left w:val="single" w:color="auto" w:sz="6" w:space="0"/>
              <w:bottom w:val="single" w:color="auto" w:sz="4" w:space="0"/>
              <w:right w:val="single" w:color="auto" w:sz="6" w:space="0"/>
            </w:tcBorders>
            <w:vAlign w:val="center"/>
          </w:tcPr>
          <w:p w14:paraId="5B2AF8DD">
            <w:pPr>
              <w:pStyle w:val="19"/>
              <w:numPr>
                <w:ilvl w:val="3"/>
                <w:numId w:val="0"/>
              </w:numPr>
              <w:ind w:leftChars="0"/>
              <w:rPr>
                <w:rFonts w:hint="default" w:ascii="Times New Roman" w:hAnsi="Times New Roman" w:cs="Times New Roman"/>
                <w:highlight w:val="none"/>
              </w:rPr>
            </w:pPr>
            <w:r>
              <w:rPr>
                <w:rFonts w:hint="default" w:ascii="Times New Roman" w:hAnsi="Times New Roman" w:cs="Times New Roman"/>
                <w:highlight w:val="none"/>
              </w:rPr>
              <w:t>同时运输炸药和雷管时，应满足以下要求：</w:t>
            </w:r>
          </w:p>
          <w:p w14:paraId="5FA181F7">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货厢内应设置隔板将厢体分隔成两个独立的货舱。其中一个独立的货舱内应安装抗爆容器，雷管应装载在抗爆容器内。</w:t>
            </w:r>
          </w:p>
          <w:p w14:paraId="1B48B9A1">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炸药运输药量应小于或等于1000 kg，雷管运输药量应小于或等于300 g。单个抗爆容器存药量不应超过100 g（或折合8号瞬发工业电雷管数量不应超过100发）。</w:t>
            </w:r>
          </w:p>
          <w:p w14:paraId="74CA834C">
            <w:pPr>
              <w:pStyle w:val="19"/>
              <w:numPr>
                <w:ilvl w:val="3"/>
                <w:numId w:val="0"/>
              </w:numPr>
              <w:ind w:leftChars="0"/>
              <w:rPr>
                <w:rFonts w:hint="default" w:ascii="Times New Roman" w:hAnsi="Times New Roman" w:eastAsia="宋体" w:cs="Times New Roman"/>
                <w:highlight w:val="none"/>
                <w:lang w:eastAsia="zh-CN"/>
              </w:rPr>
            </w:pPr>
          </w:p>
        </w:tc>
        <w:tc>
          <w:tcPr>
            <w:tcW w:w="3224" w:type="dxa"/>
            <w:tcBorders>
              <w:top w:val="single" w:color="auto" w:sz="4" w:space="0"/>
              <w:left w:val="single" w:color="auto" w:sz="6" w:space="0"/>
              <w:bottom w:val="single" w:color="auto" w:sz="4" w:space="0"/>
              <w:right w:val="single" w:color="auto" w:sz="6" w:space="0"/>
            </w:tcBorders>
            <w:vAlign w:val="center"/>
          </w:tcPr>
          <w:p w14:paraId="110A7ABF">
            <w:pPr>
              <w:pStyle w:val="19"/>
              <w:numPr>
                <w:ilvl w:val="3"/>
                <w:numId w:val="0"/>
              </w:numPr>
              <w:spacing w:line="240" w:lineRule="auto"/>
              <w:ind w:left="0" w:leftChars="0" w:firstLine="0" w:firstLineChars="0"/>
              <w:rPr>
                <w:rFonts w:hint="default" w:ascii="Times New Roman" w:hAnsi="Times New Roman" w:cs="Times New Roman"/>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9C81745">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30043C2F">
            <w:pPr>
              <w:spacing w:line="240" w:lineRule="exact"/>
              <w:jc w:val="center"/>
              <w:rPr>
                <w:rFonts w:hint="default" w:ascii="Times New Roman" w:hAnsi="Times New Roman" w:cs="Times New Roman"/>
                <w:sz w:val="21"/>
                <w:szCs w:val="21"/>
              </w:rPr>
            </w:pPr>
          </w:p>
        </w:tc>
      </w:tr>
    </w:tbl>
    <w:p w14:paraId="40A5E125">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12894BEA">
      <w:pPr>
        <w:spacing w:line="240" w:lineRule="exact"/>
        <w:jc w:val="both"/>
        <w:rPr>
          <w:rFonts w:hint="default" w:ascii="Times New Roman" w:hAnsi="Times New Roman" w:cs="Times New Roman"/>
          <w:kern w:val="2"/>
          <w:sz w:val="21"/>
        </w:rPr>
      </w:pPr>
    </w:p>
    <w:p w14:paraId="1BC9DEF7">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64"/>
        <w:gridCol w:w="264"/>
        <w:gridCol w:w="3520"/>
        <w:gridCol w:w="3224"/>
        <w:gridCol w:w="709"/>
        <w:gridCol w:w="709"/>
      </w:tblGrid>
      <w:tr w14:paraId="522ECE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19CC753C">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gridSpan w:val="2"/>
            <w:tcBorders>
              <w:top w:val="single" w:color="auto" w:sz="4" w:space="0"/>
              <w:left w:val="single" w:color="auto" w:sz="4" w:space="0"/>
              <w:bottom w:val="single" w:color="auto" w:sz="6" w:space="0"/>
              <w:right w:val="single" w:color="auto" w:sz="6" w:space="0"/>
            </w:tcBorders>
            <w:vAlign w:val="center"/>
          </w:tcPr>
          <w:p w14:paraId="7B974E63">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520" w:type="dxa"/>
            <w:tcBorders>
              <w:top w:val="single" w:color="auto" w:sz="4" w:space="0"/>
              <w:left w:val="single" w:color="auto" w:sz="6" w:space="0"/>
              <w:bottom w:val="single" w:color="auto" w:sz="6" w:space="0"/>
              <w:right w:val="single" w:color="auto" w:sz="6" w:space="0"/>
            </w:tcBorders>
            <w:vAlign w:val="center"/>
          </w:tcPr>
          <w:p w14:paraId="1AB8302C">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6858580F">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5380E161">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58F41A39">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516573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01" w:hRule="atLeast"/>
        </w:trPr>
        <w:tc>
          <w:tcPr>
            <w:tcW w:w="345" w:type="dxa"/>
            <w:tcBorders>
              <w:left w:val="single" w:color="auto" w:sz="4" w:space="0"/>
              <w:bottom w:val="single" w:color="auto" w:sz="4" w:space="0"/>
              <w:right w:val="single" w:color="auto" w:sz="4" w:space="0"/>
            </w:tcBorders>
            <w:vAlign w:val="center"/>
          </w:tcPr>
          <w:p w14:paraId="3AFDE087">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59</w:t>
            </w:r>
          </w:p>
        </w:tc>
        <w:tc>
          <w:tcPr>
            <w:tcW w:w="264" w:type="dxa"/>
            <w:vMerge w:val="restart"/>
            <w:tcBorders>
              <w:left w:val="single" w:color="auto" w:sz="4" w:space="0"/>
              <w:right w:val="single" w:color="auto" w:sz="6" w:space="0"/>
            </w:tcBorders>
            <w:vAlign w:val="center"/>
          </w:tcPr>
          <w:p w14:paraId="724A5736">
            <w:pPr>
              <w:pStyle w:val="21"/>
              <w:numPr>
                <w:ilvl w:val="0"/>
                <w:numId w:val="0"/>
              </w:numPr>
              <w:rPr>
                <w:rFonts w:hint="default" w:ascii="Times New Roman" w:hAnsi="Times New Roman" w:cs="Times New Roman"/>
              </w:rPr>
            </w:pPr>
            <w:bookmarkStart w:id="3" w:name="_Toc163734680"/>
            <w:bookmarkStart w:id="4" w:name="_Toc157084611"/>
            <w:r>
              <w:rPr>
                <w:rFonts w:hint="default" w:ascii="Times New Roman" w:hAnsi="Times New Roman" w:cs="Times New Roman"/>
              </w:rPr>
              <w:t>运输危险货物的罐式车辆专项要求</w:t>
            </w:r>
            <w:bookmarkEnd w:id="3"/>
            <w:bookmarkEnd w:id="4"/>
          </w:p>
          <w:p w14:paraId="1D2602B7">
            <w:pPr>
              <w:spacing w:line="240" w:lineRule="exact"/>
              <w:jc w:val="center"/>
              <w:rPr>
                <w:rFonts w:hint="default" w:ascii="Times New Roman" w:hAnsi="Times New Roman" w:eastAsia="宋体" w:cs="Times New Roman"/>
                <w:sz w:val="21"/>
                <w:szCs w:val="21"/>
                <w:lang w:val="en-US" w:eastAsia="zh-CN"/>
              </w:rPr>
            </w:pPr>
          </w:p>
        </w:tc>
        <w:tc>
          <w:tcPr>
            <w:tcW w:w="264" w:type="dxa"/>
            <w:vMerge w:val="restart"/>
            <w:tcBorders>
              <w:left w:val="single" w:color="auto" w:sz="4" w:space="0"/>
              <w:right w:val="single" w:color="auto" w:sz="6" w:space="0"/>
            </w:tcBorders>
            <w:vAlign w:val="center"/>
          </w:tcPr>
          <w:p w14:paraId="314870D6">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通用要求</w:t>
            </w:r>
          </w:p>
        </w:tc>
        <w:tc>
          <w:tcPr>
            <w:tcW w:w="3520" w:type="dxa"/>
            <w:tcBorders>
              <w:top w:val="single" w:color="auto" w:sz="4" w:space="0"/>
              <w:left w:val="single" w:color="auto" w:sz="6" w:space="0"/>
              <w:right w:val="single" w:color="auto" w:sz="6" w:space="0"/>
            </w:tcBorders>
            <w:shd w:val="clear" w:color="auto" w:fill="auto"/>
            <w:vAlign w:val="center"/>
          </w:tcPr>
          <w:p w14:paraId="252F5E96">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eastAsia="宋体" w:cs="Times New Roman"/>
                <w:sz w:val="21"/>
                <w:highlight w:val="none"/>
                <w:lang w:val="en-US" w:eastAsia="zh-CN" w:bidi="ar-SA"/>
              </w:rPr>
            </w:pPr>
            <w:r>
              <w:rPr>
                <w:rFonts w:hint="default" w:ascii="Times New Roman" w:hAnsi="Times New Roman" w:cs="Times New Roman"/>
                <w:highlight w:val="none"/>
              </w:rPr>
              <w:t>罐体或与罐体焊接的支座的右侧应有金属的罐体铭牌。常压罐体铭牌应标注唯一性编码、罐体设计代码、罐体容积等信息</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right w:val="single" w:color="auto" w:sz="6" w:space="0"/>
            </w:tcBorders>
            <w:shd w:val="clear" w:color="auto" w:fill="auto"/>
            <w:vAlign w:val="center"/>
          </w:tcPr>
          <w:p w14:paraId="1E70BEA1">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eastAsia="宋体" w:cs="Times New Roman"/>
                <w:sz w:val="21"/>
                <w:szCs w:val="21"/>
                <w:u w:val="none"/>
                <w:lang w:val="en-US" w:eastAsia="zh-CN" w:bidi="ar-SA"/>
              </w:rPr>
            </w:pPr>
          </w:p>
        </w:tc>
        <w:tc>
          <w:tcPr>
            <w:tcW w:w="709" w:type="dxa"/>
            <w:tcBorders>
              <w:top w:val="single" w:color="auto" w:sz="4" w:space="0"/>
              <w:left w:val="single" w:color="auto" w:sz="6" w:space="0"/>
              <w:bottom w:val="single" w:color="auto" w:sz="4" w:space="0"/>
              <w:right w:val="single" w:color="auto" w:sz="4" w:space="0"/>
            </w:tcBorders>
            <w:shd w:val="clear" w:color="auto" w:fill="auto"/>
            <w:vAlign w:val="center"/>
          </w:tcPr>
          <w:p w14:paraId="3881CD78">
            <w:pPr>
              <w:spacing w:line="240" w:lineRule="exact"/>
              <w:jc w:val="center"/>
              <w:rPr>
                <w:rFonts w:hint="eastAsia" w:ascii="Times New Roman" w:hAnsi="Times New Roman" w:eastAsia="宋体" w:cs="Times New Roman"/>
                <w:kern w:val="2"/>
                <w:sz w:val="21"/>
                <w:szCs w:val="21"/>
                <w:lang w:val="en-US" w:eastAsia="zh-CN" w:bidi="ar-SA"/>
              </w:rPr>
            </w:pPr>
          </w:p>
        </w:tc>
        <w:tc>
          <w:tcPr>
            <w:tcW w:w="709" w:type="dxa"/>
            <w:tcBorders>
              <w:top w:val="single" w:color="auto" w:sz="4" w:space="0"/>
              <w:left w:val="single" w:color="auto" w:sz="6" w:space="0"/>
              <w:bottom w:val="single" w:color="auto" w:sz="4" w:space="0"/>
              <w:right w:val="single" w:color="auto" w:sz="4" w:space="0"/>
            </w:tcBorders>
            <w:shd w:val="clear" w:color="auto" w:fill="auto"/>
            <w:vAlign w:val="center"/>
          </w:tcPr>
          <w:p w14:paraId="2E18222B">
            <w:pPr>
              <w:spacing w:line="240" w:lineRule="exact"/>
              <w:jc w:val="center"/>
              <w:rPr>
                <w:rFonts w:hint="eastAsia" w:ascii="Times New Roman" w:hAnsi="Times New Roman" w:eastAsia="宋体" w:cs="Times New Roman"/>
                <w:kern w:val="2"/>
                <w:sz w:val="21"/>
                <w:szCs w:val="21"/>
                <w:lang w:val="en-US" w:eastAsia="zh-CN" w:bidi="ar-SA"/>
              </w:rPr>
            </w:pPr>
          </w:p>
        </w:tc>
      </w:tr>
      <w:tr w14:paraId="618558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22" w:hRule="atLeast"/>
        </w:trPr>
        <w:tc>
          <w:tcPr>
            <w:tcW w:w="345" w:type="dxa"/>
            <w:tcBorders>
              <w:top w:val="single" w:color="auto" w:sz="4" w:space="0"/>
              <w:left w:val="single" w:color="auto" w:sz="4" w:space="0"/>
              <w:bottom w:val="single" w:color="auto" w:sz="4" w:space="0"/>
              <w:right w:val="single" w:color="auto" w:sz="4" w:space="0"/>
            </w:tcBorders>
            <w:vAlign w:val="center"/>
          </w:tcPr>
          <w:p w14:paraId="1BE49F9B">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60</w:t>
            </w:r>
          </w:p>
        </w:tc>
        <w:tc>
          <w:tcPr>
            <w:tcW w:w="264" w:type="dxa"/>
            <w:vMerge w:val="continue"/>
            <w:tcBorders>
              <w:left w:val="single" w:color="auto" w:sz="4" w:space="0"/>
              <w:right w:val="single" w:color="auto" w:sz="6" w:space="0"/>
            </w:tcBorders>
            <w:vAlign w:val="center"/>
          </w:tcPr>
          <w:p w14:paraId="3C585DA6">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2931D440">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5864B459">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罐体与行走机构或者底盘的连接和固定应牢固可靠，罐体纵向中心线铅垂面与行走机构或者底盘纵向中心线铅垂面的偏移量应小于或等于6 mm</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378CF258">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7A71F52">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79B6C3EC">
            <w:pPr>
              <w:spacing w:line="240" w:lineRule="exact"/>
              <w:jc w:val="center"/>
              <w:rPr>
                <w:rFonts w:hint="default" w:ascii="Times New Roman" w:hAnsi="Times New Roman" w:cs="Times New Roman"/>
                <w:sz w:val="21"/>
                <w:szCs w:val="21"/>
              </w:rPr>
            </w:pPr>
          </w:p>
        </w:tc>
      </w:tr>
      <w:tr w14:paraId="2F185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221" w:hRule="atLeast"/>
        </w:trPr>
        <w:tc>
          <w:tcPr>
            <w:tcW w:w="345" w:type="dxa"/>
            <w:tcBorders>
              <w:top w:val="single" w:color="auto" w:sz="4" w:space="0"/>
              <w:left w:val="single" w:color="auto" w:sz="4" w:space="0"/>
              <w:bottom w:val="single" w:color="auto" w:sz="4" w:space="0"/>
              <w:right w:val="single" w:color="auto" w:sz="4" w:space="0"/>
            </w:tcBorders>
            <w:vAlign w:val="center"/>
          </w:tcPr>
          <w:p w14:paraId="12192E7C">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61</w:t>
            </w:r>
          </w:p>
        </w:tc>
        <w:tc>
          <w:tcPr>
            <w:tcW w:w="264" w:type="dxa"/>
            <w:vMerge w:val="continue"/>
            <w:tcBorders>
              <w:left w:val="single" w:color="auto" w:sz="4" w:space="0"/>
              <w:right w:val="single" w:color="auto" w:sz="6" w:space="0"/>
            </w:tcBorders>
            <w:vAlign w:val="center"/>
          </w:tcPr>
          <w:p w14:paraId="5ED1F73F">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4168FADD">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0A5922C8">
            <w:pPr>
              <w:pStyle w:val="22"/>
              <w:keepNext w:val="0"/>
              <w:keepLines w:val="0"/>
              <w:pageBreakBefore w:val="0"/>
              <w:numPr>
                <w:ilvl w:val="4"/>
                <w:numId w:val="0"/>
              </w:numPr>
              <w:kinsoku/>
              <w:wordWrap/>
              <w:overflowPunct/>
              <w:topLinePunct w:val="0"/>
              <w:autoSpaceDE/>
              <w:autoSpaceDN/>
              <w:bidi w:val="0"/>
              <w:snapToGrid/>
              <w:spacing w:line="260" w:lineRule="exact"/>
              <w:ind w:leftChars="0"/>
              <w:rPr>
                <w:rFonts w:hint="default" w:ascii="Times New Roman" w:hAnsi="Times New Roman" w:cs="Times New Roman"/>
                <w:highlight w:val="none"/>
              </w:rPr>
            </w:pPr>
            <w:r>
              <w:rPr>
                <w:rFonts w:hint="default" w:ascii="Times New Roman" w:hAnsi="Times New Roman" w:cs="Times New Roman"/>
                <w:highlight w:val="none"/>
              </w:rPr>
              <w:t>罐体及罐体上的管路和附件的安装位置应满足以下要求：</w:t>
            </w:r>
          </w:p>
          <w:p w14:paraId="619D8EF6">
            <w:pPr>
              <w:pStyle w:val="21"/>
              <w:keepNext w:val="0"/>
              <w:keepLines w:val="0"/>
              <w:pageBreakBefore w:val="0"/>
              <w:numPr>
                <w:ilvl w:val="0"/>
                <w:numId w:val="0"/>
              </w:numPr>
              <w:kinsoku/>
              <w:wordWrap/>
              <w:overflowPunct/>
              <w:topLinePunct w:val="0"/>
              <w:autoSpaceDE/>
              <w:autoSpaceDN/>
              <w:bidi w:val="0"/>
              <w:snapToGrid/>
              <w:spacing w:line="26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不应增加车辆的总宽，其外端面不应超出侧面防护装置外表面；</w:t>
            </w:r>
          </w:p>
          <w:p w14:paraId="05A4A36C">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安装在前轴与后轴之间的，下边缘不应低于侧面防护装置下缘；安装在后轴与后下部防护装置之间的，下边缘不应低于后下部防护装置下缘。</w:t>
            </w:r>
          </w:p>
        </w:tc>
        <w:tc>
          <w:tcPr>
            <w:tcW w:w="3224" w:type="dxa"/>
            <w:tcBorders>
              <w:top w:val="single" w:color="auto" w:sz="4" w:space="0"/>
              <w:left w:val="single" w:color="auto" w:sz="6" w:space="0"/>
              <w:bottom w:val="single" w:color="auto" w:sz="4" w:space="0"/>
              <w:right w:val="single" w:color="auto" w:sz="6" w:space="0"/>
            </w:tcBorders>
            <w:vAlign w:val="center"/>
          </w:tcPr>
          <w:p w14:paraId="38F26FE0">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07029D0">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485BD810">
            <w:pPr>
              <w:spacing w:line="240" w:lineRule="exact"/>
              <w:jc w:val="center"/>
              <w:rPr>
                <w:rFonts w:hint="default" w:ascii="Times New Roman" w:hAnsi="Times New Roman" w:cs="Times New Roman"/>
                <w:sz w:val="21"/>
                <w:szCs w:val="21"/>
              </w:rPr>
            </w:pPr>
          </w:p>
        </w:tc>
      </w:tr>
      <w:tr w14:paraId="4CE0CA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086" w:hRule="atLeast"/>
        </w:trPr>
        <w:tc>
          <w:tcPr>
            <w:tcW w:w="345" w:type="dxa"/>
            <w:vMerge w:val="restart"/>
            <w:tcBorders>
              <w:top w:val="single" w:color="auto" w:sz="4" w:space="0"/>
              <w:left w:val="single" w:color="auto" w:sz="4" w:space="0"/>
              <w:right w:val="single" w:color="auto" w:sz="4" w:space="0"/>
            </w:tcBorders>
            <w:vAlign w:val="center"/>
          </w:tcPr>
          <w:p w14:paraId="0120043C">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62</w:t>
            </w:r>
          </w:p>
        </w:tc>
        <w:tc>
          <w:tcPr>
            <w:tcW w:w="264" w:type="dxa"/>
            <w:vMerge w:val="continue"/>
            <w:tcBorders>
              <w:left w:val="single" w:color="auto" w:sz="4" w:space="0"/>
              <w:right w:val="single" w:color="auto" w:sz="6" w:space="0"/>
            </w:tcBorders>
            <w:vAlign w:val="center"/>
          </w:tcPr>
          <w:p w14:paraId="080A0481">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0011412C">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5F6D99C5">
            <w:pPr>
              <w:pStyle w:val="22"/>
              <w:keepNext w:val="0"/>
              <w:keepLines w:val="0"/>
              <w:pageBreakBefore w:val="0"/>
              <w:numPr>
                <w:ilvl w:val="4"/>
                <w:numId w:val="0"/>
              </w:numPr>
              <w:kinsoku/>
              <w:wordWrap/>
              <w:overflowPunct/>
              <w:topLinePunct w:val="0"/>
              <w:autoSpaceDE/>
              <w:autoSpaceDN/>
              <w:bidi w:val="0"/>
              <w:snapToGrid/>
              <w:spacing w:line="260" w:lineRule="exact"/>
              <w:ind w:leftChars="0"/>
              <w:rPr>
                <w:rFonts w:hint="default" w:ascii="Times New Roman" w:hAnsi="Times New Roman" w:cs="Times New Roman"/>
                <w:highlight w:val="none"/>
              </w:rPr>
            </w:pPr>
            <w:r>
              <w:rPr>
                <w:rFonts w:hint="default" w:ascii="Times New Roman" w:hAnsi="Times New Roman" w:cs="Times New Roman"/>
                <w:highlight w:val="none"/>
              </w:rPr>
              <w:t>罐体后封头及罐体后封头上的管路和附件外端面与后下部防护装置内侧在车辆长度方向垂直投影的距离，应满足以下要求：</w:t>
            </w:r>
          </w:p>
          <w:p w14:paraId="1082B5FB">
            <w:pPr>
              <w:pStyle w:val="21"/>
              <w:keepNext w:val="0"/>
              <w:keepLines w:val="0"/>
              <w:pageBreakBefore w:val="0"/>
              <w:numPr>
                <w:ilvl w:val="0"/>
                <w:numId w:val="0"/>
              </w:numPr>
              <w:kinsoku/>
              <w:wordWrap/>
              <w:overflowPunct/>
              <w:topLinePunct w:val="0"/>
              <w:autoSpaceDE/>
              <w:autoSpaceDN/>
              <w:bidi w:val="0"/>
              <w:snapToGrid/>
              <w:spacing w:line="26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最大总质量小于7500 kg的危险货物运输车辆，大于或等于150 mm；</w:t>
            </w:r>
          </w:p>
          <w:p w14:paraId="52A1D23C">
            <w:pPr>
              <w:pStyle w:val="21"/>
              <w:keepNext w:val="0"/>
              <w:keepLines w:val="0"/>
              <w:pageBreakBefore w:val="0"/>
              <w:numPr>
                <w:ilvl w:val="0"/>
                <w:numId w:val="0"/>
              </w:numPr>
              <w:kinsoku/>
              <w:wordWrap/>
              <w:overflowPunct/>
              <w:topLinePunct w:val="0"/>
              <w:autoSpaceDE/>
              <w:autoSpaceDN/>
              <w:bidi w:val="0"/>
              <w:snapToGrid/>
              <w:spacing w:line="260" w:lineRule="exact"/>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最大总质量大于或等于7500 kg的危险货物运输车辆，大于或等于300 mm。</w:t>
            </w:r>
          </w:p>
        </w:tc>
        <w:tc>
          <w:tcPr>
            <w:tcW w:w="3224" w:type="dxa"/>
            <w:tcBorders>
              <w:top w:val="single" w:color="auto" w:sz="4" w:space="0"/>
              <w:left w:val="single" w:color="auto" w:sz="6" w:space="0"/>
              <w:bottom w:val="single" w:color="auto" w:sz="4" w:space="0"/>
              <w:right w:val="single" w:color="auto" w:sz="6" w:space="0"/>
            </w:tcBorders>
            <w:vAlign w:val="center"/>
          </w:tcPr>
          <w:p w14:paraId="0922CBDF">
            <w:pPr>
              <w:pStyle w:val="21"/>
              <w:keepNext w:val="0"/>
              <w:keepLines w:val="0"/>
              <w:pageBreakBefore w:val="0"/>
              <w:numPr>
                <w:ilvl w:val="0"/>
                <w:numId w:val="0"/>
              </w:numPr>
              <w:kinsoku/>
              <w:wordWrap/>
              <w:overflowPunct/>
              <w:topLinePunct w:val="0"/>
              <w:autoSpaceDE/>
              <w:autoSpaceDN/>
              <w:bidi w:val="0"/>
              <w:snapToGrid/>
              <w:spacing w:line="260" w:lineRule="exact"/>
              <w:ind w:left="0" w:leftChars="0" w:firstLine="0" w:firstLineChars="0"/>
              <w:rPr>
                <w:rFonts w:hint="default" w:ascii="Times New Roman" w:hAnsi="Times New Roman"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1CE7040">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61F78493">
            <w:pPr>
              <w:spacing w:line="240" w:lineRule="exact"/>
              <w:jc w:val="center"/>
              <w:rPr>
                <w:rFonts w:hint="default" w:ascii="Times New Roman" w:hAnsi="Times New Roman" w:cs="Times New Roman"/>
                <w:sz w:val="21"/>
                <w:szCs w:val="21"/>
              </w:rPr>
            </w:pPr>
          </w:p>
        </w:tc>
      </w:tr>
      <w:tr w14:paraId="4D7744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528" w:hRule="atLeast"/>
        </w:trPr>
        <w:tc>
          <w:tcPr>
            <w:tcW w:w="345" w:type="dxa"/>
            <w:vMerge w:val="continue"/>
            <w:tcBorders>
              <w:top w:val="single" w:color="auto" w:sz="4" w:space="0"/>
              <w:left w:val="single" w:color="auto" w:sz="4" w:space="0"/>
              <w:bottom w:val="single" w:color="auto" w:sz="4" w:space="0"/>
              <w:right w:val="single" w:color="auto" w:sz="4" w:space="0"/>
            </w:tcBorders>
            <w:vAlign w:val="center"/>
          </w:tcPr>
          <w:p w14:paraId="266B1A72">
            <w:pPr>
              <w:spacing w:line="240" w:lineRule="exact"/>
              <w:jc w:val="center"/>
              <w:rPr>
                <w:rFonts w:hint="default" w:ascii="Times New Roman" w:hAnsi="Times New Roman" w:cs="Times New Roman"/>
                <w:sz w:val="21"/>
                <w:szCs w:val="21"/>
              </w:rPr>
            </w:pPr>
          </w:p>
        </w:tc>
        <w:tc>
          <w:tcPr>
            <w:tcW w:w="264" w:type="dxa"/>
            <w:vMerge w:val="continue"/>
            <w:tcBorders>
              <w:left w:val="single" w:color="auto" w:sz="4" w:space="0"/>
              <w:right w:val="single" w:color="auto" w:sz="6" w:space="0"/>
            </w:tcBorders>
            <w:vAlign w:val="center"/>
          </w:tcPr>
          <w:p w14:paraId="4C7C2DED">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326B7B99">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19B259B9">
            <w:pPr>
              <w:pStyle w:val="21"/>
              <w:keepNext w:val="0"/>
              <w:keepLines w:val="0"/>
              <w:pageBreakBefore w:val="0"/>
              <w:numPr>
                <w:ilvl w:val="0"/>
                <w:numId w:val="0"/>
              </w:numPr>
              <w:kinsoku/>
              <w:wordWrap/>
              <w:overflowPunct/>
              <w:topLinePunct w:val="0"/>
              <w:autoSpaceDE/>
              <w:autoSpaceDN/>
              <w:bidi w:val="0"/>
              <w:snapToGrid/>
              <w:spacing w:line="260" w:lineRule="exact"/>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罐体顶部如有装卸管路和安全附件等设备设施且露出罐体的，应设置能够承受2倍车辆最大允许总质量乘以重力加速度的惯性力的</w:t>
            </w:r>
            <w:bookmarkStart w:id="5" w:name="OLE_LINK2"/>
            <w:r>
              <w:rPr>
                <w:rFonts w:hint="default" w:ascii="Times New Roman" w:hAnsi="Times New Roman" w:cs="Times New Roman"/>
                <w:highlight w:val="none"/>
              </w:rPr>
              <w:t>倾覆保护装置</w:t>
            </w:r>
            <w:bookmarkEnd w:id="5"/>
            <w:r>
              <w:rPr>
                <w:rFonts w:hint="default" w:ascii="Times New Roman" w:hAnsi="Times New Roman" w:cs="Times New Roman"/>
                <w:highlight w:val="none"/>
              </w:rPr>
              <w:t>，且该装置应具有能将积聚在其内部的液体排出的结构或功能，罐体顶部的管接头、阀门及其他附件的最高点应低于倾覆保护装置的最高点至少20 mm。若罐体顶部无任何附属设备设施，或附属设备设施</w:t>
            </w:r>
            <w:bookmarkStart w:id="6" w:name="OLE_LINK3"/>
            <w:r>
              <w:rPr>
                <w:rFonts w:hint="default" w:ascii="Times New Roman" w:hAnsi="Times New Roman" w:cs="Times New Roman"/>
                <w:highlight w:val="none"/>
              </w:rPr>
              <w:t>未</w:t>
            </w:r>
            <w:bookmarkEnd w:id="6"/>
            <w:r>
              <w:rPr>
                <w:rFonts w:hint="default" w:ascii="Times New Roman" w:hAnsi="Times New Roman" w:cs="Times New Roman"/>
                <w:highlight w:val="none"/>
              </w:rPr>
              <w:t>露出罐体，不应设置倾覆保护装置</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57C1FBBC">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B3C9002">
            <w:pPr>
              <w:spacing w:line="240" w:lineRule="exact"/>
              <w:jc w:val="center"/>
              <w:rPr>
                <w:rFonts w:hint="eastAsia" w:ascii="Times New Roman" w:hAnsi="Times New Roman" w:eastAsia="宋体" w:cs="Times New Roman"/>
                <w:sz w:val="21"/>
                <w:szCs w:val="21"/>
                <w:lang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87FBBC6">
            <w:pPr>
              <w:spacing w:line="240" w:lineRule="exact"/>
              <w:jc w:val="center"/>
              <w:rPr>
                <w:rFonts w:hint="eastAsia" w:ascii="Times New Roman" w:hAnsi="Times New Roman" w:eastAsia="宋体" w:cs="Times New Roman"/>
                <w:sz w:val="21"/>
                <w:szCs w:val="21"/>
                <w:lang w:eastAsia="zh-CN"/>
              </w:rPr>
            </w:pPr>
          </w:p>
        </w:tc>
      </w:tr>
    </w:tbl>
    <w:p w14:paraId="4F451151">
      <w:pPr>
        <w:pStyle w:val="9"/>
        <w:rPr>
          <w:rFonts w:hint="default" w:ascii="Times New Roman" w:hAnsi="Times New Roman" w:cs="Times New Roman"/>
          <w:kern w:val="2"/>
          <w:sz w:val="21"/>
        </w:rPr>
      </w:pPr>
    </w:p>
    <w:p w14:paraId="3633F907">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3DA446A0">
      <w:pPr>
        <w:spacing w:line="240" w:lineRule="exact"/>
        <w:jc w:val="both"/>
        <w:rPr>
          <w:rFonts w:hint="default" w:ascii="Times New Roman" w:hAnsi="Times New Roman" w:cs="Times New Roman"/>
          <w:kern w:val="2"/>
          <w:sz w:val="21"/>
        </w:rPr>
      </w:pPr>
    </w:p>
    <w:p w14:paraId="5EC8739E">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64"/>
        <w:gridCol w:w="264"/>
        <w:gridCol w:w="3520"/>
        <w:gridCol w:w="3224"/>
        <w:gridCol w:w="709"/>
        <w:gridCol w:w="709"/>
      </w:tblGrid>
      <w:tr w14:paraId="078401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3B3AC3EA">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gridSpan w:val="2"/>
            <w:tcBorders>
              <w:top w:val="single" w:color="auto" w:sz="4" w:space="0"/>
              <w:left w:val="single" w:color="auto" w:sz="4" w:space="0"/>
              <w:bottom w:val="single" w:color="auto" w:sz="6" w:space="0"/>
              <w:right w:val="single" w:color="auto" w:sz="6" w:space="0"/>
            </w:tcBorders>
            <w:vAlign w:val="center"/>
          </w:tcPr>
          <w:p w14:paraId="0C54762C">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520" w:type="dxa"/>
            <w:tcBorders>
              <w:top w:val="single" w:color="auto" w:sz="4" w:space="0"/>
              <w:left w:val="single" w:color="auto" w:sz="6" w:space="0"/>
              <w:bottom w:val="single" w:color="auto" w:sz="6" w:space="0"/>
              <w:right w:val="single" w:color="auto" w:sz="6" w:space="0"/>
            </w:tcBorders>
            <w:vAlign w:val="center"/>
          </w:tcPr>
          <w:p w14:paraId="7F33BDF0">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72D59B4D">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0CA1C3B9">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63046961">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7DE75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0" w:hRule="atLeast"/>
        </w:trPr>
        <w:tc>
          <w:tcPr>
            <w:tcW w:w="345" w:type="dxa"/>
            <w:tcBorders>
              <w:left w:val="single" w:color="auto" w:sz="4" w:space="0"/>
              <w:bottom w:val="single" w:color="auto" w:sz="4" w:space="0"/>
              <w:right w:val="single" w:color="auto" w:sz="4" w:space="0"/>
            </w:tcBorders>
            <w:vAlign w:val="center"/>
          </w:tcPr>
          <w:p w14:paraId="5B2E8904">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63</w:t>
            </w:r>
          </w:p>
        </w:tc>
        <w:tc>
          <w:tcPr>
            <w:tcW w:w="264" w:type="dxa"/>
            <w:vMerge w:val="restart"/>
            <w:tcBorders>
              <w:left w:val="single" w:color="auto" w:sz="4" w:space="0"/>
              <w:right w:val="single" w:color="auto" w:sz="6" w:space="0"/>
            </w:tcBorders>
            <w:vAlign w:val="center"/>
          </w:tcPr>
          <w:p w14:paraId="62B48664">
            <w:pPr>
              <w:pStyle w:val="21"/>
              <w:numPr>
                <w:ilvl w:val="0"/>
                <w:numId w:val="0"/>
              </w:numPr>
              <w:rPr>
                <w:rFonts w:hint="default" w:ascii="Times New Roman" w:hAnsi="Times New Roman" w:cs="Times New Roman"/>
              </w:rPr>
            </w:pPr>
            <w:r>
              <w:rPr>
                <w:rFonts w:hint="default" w:ascii="Times New Roman" w:hAnsi="Times New Roman" w:cs="Times New Roman"/>
              </w:rPr>
              <w:t>运输危险货物的罐式车辆专项要求</w:t>
            </w:r>
          </w:p>
          <w:p w14:paraId="301FC41B">
            <w:pPr>
              <w:spacing w:line="240" w:lineRule="exact"/>
              <w:jc w:val="center"/>
              <w:rPr>
                <w:rFonts w:hint="default" w:ascii="Times New Roman" w:hAnsi="Times New Roman" w:eastAsia="宋体" w:cs="Times New Roman"/>
                <w:sz w:val="21"/>
                <w:szCs w:val="21"/>
                <w:lang w:val="en-US" w:eastAsia="zh-CN"/>
              </w:rPr>
            </w:pPr>
          </w:p>
        </w:tc>
        <w:tc>
          <w:tcPr>
            <w:tcW w:w="264" w:type="dxa"/>
            <w:vMerge w:val="restart"/>
            <w:tcBorders>
              <w:left w:val="single" w:color="auto" w:sz="4" w:space="0"/>
              <w:right w:val="single" w:color="auto" w:sz="6" w:space="0"/>
            </w:tcBorders>
            <w:vAlign w:val="center"/>
          </w:tcPr>
          <w:p w14:paraId="6313C9D6">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通用要求</w:t>
            </w:r>
          </w:p>
        </w:tc>
        <w:tc>
          <w:tcPr>
            <w:tcW w:w="3520" w:type="dxa"/>
            <w:tcBorders>
              <w:top w:val="single" w:color="auto" w:sz="4" w:space="0"/>
              <w:left w:val="single" w:color="auto" w:sz="6" w:space="0"/>
              <w:bottom w:val="single" w:color="auto" w:sz="4" w:space="0"/>
              <w:right w:val="single" w:color="auto" w:sz="6" w:space="0"/>
            </w:tcBorders>
            <w:vAlign w:val="center"/>
          </w:tcPr>
          <w:p w14:paraId="176C6D0A">
            <w:pPr>
              <w:pStyle w:val="22"/>
              <w:numPr>
                <w:ilvl w:val="4"/>
                <w:numId w:val="0"/>
              </w:numPr>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罐式危险货物运输车辆装卸口应设置阀门箱或防碰撞护拦等保护装置，且应设置集漏器。</w:t>
            </w:r>
          </w:p>
        </w:tc>
        <w:tc>
          <w:tcPr>
            <w:tcW w:w="3224" w:type="dxa"/>
            <w:tcBorders>
              <w:top w:val="single" w:color="auto" w:sz="4" w:space="0"/>
              <w:left w:val="single" w:color="auto" w:sz="6" w:space="0"/>
              <w:bottom w:val="single" w:color="auto" w:sz="4" w:space="0"/>
              <w:right w:val="single" w:color="auto" w:sz="6" w:space="0"/>
            </w:tcBorders>
            <w:vAlign w:val="center"/>
          </w:tcPr>
          <w:p w14:paraId="0353E1CF">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69A28FBB">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AF6F974">
            <w:pPr>
              <w:spacing w:line="240" w:lineRule="exact"/>
              <w:jc w:val="center"/>
              <w:rPr>
                <w:rFonts w:hint="eastAsia" w:ascii="Times New Roman" w:hAnsi="Times New Roman" w:eastAsia="宋体" w:cs="Times New Roman"/>
                <w:sz w:val="21"/>
                <w:szCs w:val="21"/>
                <w:lang w:val="en-US" w:eastAsia="zh-CN"/>
              </w:rPr>
            </w:pPr>
          </w:p>
        </w:tc>
      </w:tr>
      <w:tr w14:paraId="6E72CD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681" w:hRule="atLeast"/>
        </w:trPr>
        <w:tc>
          <w:tcPr>
            <w:tcW w:w="345" w:type="dxa"/>
            <w:tcBorders>
              <w:top w:val="single" w:color="auto" w:sz="4" w:space="0"/>
              <w:left w:val="single" w:color="auto" w:sz="4" w:space="0"/>
              <w:bottom w:val="single" w:color="auto" w:sz="4" w:space="0"/>
              <w:right w:val="single" w:color="auto" w:sz="4" w:space="0"/>
            </w:tcBorders>
            <w:vAlign w:val="center"/>
          </w:tcPr>
          <w:p w14:paraId="6F0CBC5F">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64</w:t>
            </w:r>
          </w:p>
        </w:tc>
        <w:tc>
          <w:tcPr>
            <w:tcW w:w="264" w:type="dxa"/>
            <w:vMerge w:val="continue"/>
            <w:tcBorders>
              <w:left w:val="single" w:color="auto" w:sz="4" w:space="0"/>
              <w:right w:val="single" w:color="auto" w:sz="6" w:space="0"/>
            </w:tcBorders>
            <w:vAlign w:val="center"/>
          </w:tcPr>
          <w:p w14:paraId="1FBF623A">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6C49A051">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66CB9DCC">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装有紧急切断阀的危险货物运输车辆，紧急切断阀应为装卸管路与罐体相连的第一道阀门，安装紧急切断阀的法兰应直接焊接在罐体筒体或封头上。在设计和制造上应保证车辆行驶速度大于5km/h时紧急切断阀能自动关闭，或在发动机起动时能通过一个明显的信号装置（例如：声或光信号）提示驾驶人需要关闭紧急切断阀。</w:t>
            </w:r>
            <w:r>
              <w:rPr>
                <w:rFonts w:hint="default" w:ascii="Times New Roman" w:hAnsi="Times New Roman" w:cs="Times New Roman"/>
                <w:highlight w:val="none"/>
                <w:lang w:val="en-US" w:eastAsia="zh-CN"/>
              </w:rPr>
              <w:t>紧急切断阀应符合 QC/T932的规定。</w:t>
            </w:r>
          </w:p>
        </w:tc>
        <w:tc>
          <w:tcPr>
            <w:tcW w:w="3224" w:type="dxa"/>
            <w:tcBorders>
              <w:top w:val="single" w:color="auto" w:sz="4" w:space="0"/>
              <w:left w:val="single" w:color="auto" w:sz="6" w:space="0"/>
              <w:bottom w:val="single" w:color="auto" w:sz="4" w:space="0"/>
              <w:right w:val="single" w:color="auto" w:sz="6" w:space="0"/>
            </w:tcBorders>
            <w:vAlign w:val="center"/>
          </w:tcPr>
          <w:p w14:paraId="3D2FF8D3">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eastAsia="宋体"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504C253">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69D5B98E">
            <w:pPr>
              <w:spacing w:line="240" w:lineRule="exact"/>
              <w:jc w:val="center"/>
              <w:rPr>
                <w:rFonts w:hint="default" w:ascii="Times New Roman" w:hAnsi="Times New Roman" w:cs="Times New Roman"/>
                <w:sz w:val="21"/>
                <w:szCs w:val="21"/>
              </w:rPr>
            </w:pPr>
          </w:p>
        </w:tc>
      </w:tr>
      <w:tr w14:paraId="601E71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02" w:hRule="atLeast"/>
        </w:trPr>
        <w:tc>
          <w:tcPr>
            <w:tcW w:w="345" w:type="dxa"/>
            <w:tcBorders>
              <w:top w:val="single" w:color="auto" w:sz="4" w:space="0"/>
              <w:left w:val="single" w:color="auto" w:sz="4" w:space="0"/>
              <w:bottom w:val="single" w:color="auto" w:sz="4" w:space="0"/>
              <w:right w:val="single" w:color="auto" w:sz="4" w:space="0"/>
            </w:tcBorders>
            <w:vAlign w:val="center"/>
          </w:tcPr>
          <w:p w14:paraId="28A7BA4A">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65</w:t>
            </w:r>
          </w:p>
        </w:tc>
        <w:tc>
          <w:tcPr>
            <w:tcW w:w="264" w:type="dxa"/>
            <w:vMerge w:val="continue"/>
            <w:tcBorders>
              <w:left w:val="single" w:color="auto" w:sz="4" w:space="0"/>
              <w:right w:val="single" w:color="auto" w:sz="6" w:space="0"/>
            </w:tcBorders>
            <w:vAlign w:val="center"/>
          </w:tcPr>
          <w:p w14:paraId="11B6B740">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6593C01F">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267CA6C7">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装卸管路与车辆的传动轴等可运动部件之间的间隙应大于或等于25 mm。与车辆排气系统及其他发热部件的距离应大于或等于200 mm；当结构上不允许时，管路应有隔热措施</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58FEC56C">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405D505">
            <w:pPr>
              <w:spacing w:line="240" w:lineRule="exact"/>
              <w:jc w:val="center"/>
              <w:rPr>
                <w:rFonts w:hint="default"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908AE40">
            <w:pPr>
              <w:spacing w:line="240" w:lineRule="exact"/>
              <w:jc w:val="center"/>
              <w:rPr>
                <w:rFonts w:hint="default" w:ascii="Times New Roman" w:hAnsi="Times New Roman" w:eastAsia="宋体" w:cs="Times New Roman"/>
                <w:sz w:val="21"/>
                <w:szCs w:val="21"/>
                <w:lang w:val="en-US" w:eastAsia="zh-CN"/>
              </w:rPr>
            </w:pPr>
          </w:p>
        </w:tc>
      </w:tr>
      <w:tr w14:paraId="663B1C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56" w:hRule="atLeast"/>
        </w:trPr>
        <w:tc>
          <w:tcPr>
            <w:tcW w:w="345" w:type="dxa"/>
            <w:tcBorders>
              <w:top w:val="single" w:color="auto" w:sz="4" w:space="0"/>
              <w:left w:val="single" w:color="auto" w:sz="4" w:space="0"/>
              <w:bottom w:val="single" w:color="auto" w:sz="4" w:space="0"/>
              <w:right w:val="single" w:color="auto" w:sz="4" w:space="0"/>
            </w:tcBorders>
            <w:vAlign w:val="center"/>
          </w:tcPr>
          <w:p w14:paraId="4EA5B4B6">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66</w:t>
            </w:r>
          </w:p>
        </w:tc>
        <w:tc>
          <w:tcPr>
            <w:tcW w:w="264" w:type="dxa"/>
            <w:vMerge w:val="continue"/>
            <w:tcBorders>
              <w:left w:val="single" w:color="auto" w:sz="4" w:space="0"/>
              <w:right w:val="single" w:color="auto" w:sz="6" w:space="0"/>
            </w:tcBorders>
            <w:vAlign w:val="center"/>
          </w:tcPr>
          <w:p w14:paraId="22277D9E">
            <w:pPr>
              <w:spacing w:line="240" w:lineRule="exact"/>
              <w:jc w:val="center"/>
              <w:rPr>
                <w:rFonts w:hint="default" w:ascii="Times New Roman" w:hAnsi="Times New Roman" w:eastAsia="宋体" w:cs="Times New Roman"/>
                <w:sz w:val="21"/>
                <w:szCs w:val="21"/>
                <w:lang w:val="en-US" w:eastAsia="zh-CN"/>
              </w:rPr>
            </w:pPr>
          </w:p>
        </w:tc>
        <w:tc>
          <w:tcPr>
            <w:tcW w:w="264" w:type="dxa"/>
            <w:vMerge w:val="restart"/>
            <w:tcBorders>
              <w:left w:val="single" w:color="auto" w:sz="4" w:space="0"/>
              <w:right w:val="single" w:color="auto" w:sz="6" w:space="0"/>
            </w:tcBorders>
            <w:vAlign w:val="center"/>
          </w:tcPr>
          <w:p w14:paraId="41C63AB2">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rPr>
              <w:t>常压罐式危险货物运输车辆的</w:t>
            </w:r>
            <w:r>
              <w:rPr>
                <w:rFonts w:hint="default" w:ascii="Times New Roman" w:hAnsi="Times New Roman" w:cs="Times New Roman"/>
                <w:lang w:val="en-US" w:eastAsia="zh-CN"/>
              </w:rPr>
              <w:t>要求</w:t>
            </w:r>
          </w:p>
        </w:tc>
        <w:tc>
          <w:tcPr>
            <w:tcW w:w="3520" w:type="dxa"/>
            <w:tcBorders>
              <w:top w:val="single" w:color="auto" w:sz="4" w:space="0"/>
              <w:left w:val="single" w:color="auto" w:sz="6" w:space="0"/>
              <w:bottom w:val="single" w:color="auto" w:sz="4" w:space="0"/>
              <w:right w:val="single" w:color="auto" w:sz="6" w:space="0"/>
            </w:tcBorders>
            <w:vAlign w:val="center"/>
          </w:tcPr>
          <w:p w14:paraId="4FC6A0D7">
            <w:pPr>
              <w:pStyle w:val="22"/>
              <w:numPr>
                <w:ilvl w:val="4"/>
                <w:numId w:val="0"/>
              </w:numPr>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常压罐式危险货物运输车辆的罐体、安全附件、装卸附件应符合GB 18564.1 或 GB 18564.2 的要求。</w:t>
            </w:r>
          </w:p>
        </w:tc>
        <w:tc>
          <w:tcPr>
            <w:tcW w:w="3224" w:type="dxa"/>
            <w:tcBorders>
              <w:top w:val="single" w:color="auto" w:sz="4" w:space="0"/>
              <w:left w:val="single" w:color="auto" w:sz="6" w:space="0"/>
              <w:bottom w:val="single" w:color="auto" w:sz="4" w:space="0"/>
              <w:right w:val="single" w:color="auto" w:sz="6" w:space="0"/>
            </w:tcBorders>
            <w:vAlign w:val="center"/>
          </w:tcPr>
          <w:p w14:paraId="410A03AE">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宋体"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699249B">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61FAC4C">
            <w:pPr>
              <w:spacing w:line="240" w:lineRule="exact"/>
              <w:jc w:val="center"/>
              <w:rPr>
                <w:rFonts w:hint="eastAsia" w:ascii="Times New Roman" w:hAnsi="Times New Roman" w:eastAsia="宋体" w:cs="Times New Roman"/>
                <w:sz w:val="21"/>
                <w:szCs w:val="21"/>
                <w:lang w:val="en-US" w:eastAsia="zh-CN"/>
              </w:rPr>
            </w:pPr>
          </w:p>
        </w:tc>
      </w:tr>
      <w:tr w14:paraId="0F22E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841" w:hRule="atLeast"/>
        </w:trPr>
        <w:tc>
          <w:tcPr>
            <w:tcW w:w="345" w:type="dxa"/>
            <w:tcBorders>
              <w:top w:val="single" w:color="auto" w:sz="4" w:space="0"/>
              <w:left w:val="single" w:color="auto" w:sz="4" w:space="0"/>
              <w:right w:val="single" w:color="auto" w:sz="4" w:space="0"/>
            </w:tcBorders>
            <w:vAlign w:val="center"/>
          </w:tcPr>
          <w:p w14:paraId="528FF370">
            <w:pPr>
              <w:spacing w:line="240" w:lineRule="exact"/>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67</w:t>
            </w:r>
          </w:p>
        </w:tc>
        <w:tc>
          <w:tcPr>
            <w:tcW w:w="264" w:type="dxa"/>
            <w:vMerge w:val="continue"/>
            <w:tcBorders>
              <w:left w:val="single" w:color="auto" w:sz="4" w:space="0"/>
              <w:right w:val="single" w:color="auto" w:sz="6" w:space="0"/>
            </w:tcBorders>
            <w:vAlign w:val="center"/>
          </w:tcPr>
          <w:p w14:paraId="569A6110">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18888B6C">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1242C4D1">
            <w:pPr>
              <w:pStyle w:val="22"/>
              <w:numPr>
                <w:ilvl w:val="4"/>
                <w:numId w:val="0"/>
              </w:numPr>
              <w:ind w:leftChars="0"/>
              <w:rPr>
                <w:rFonts w:hint="default" w:ascii="Times New Roman" w:hAnsi="Times New Roman" w:cs="Times New Roman"/>
                <w:highlight w:val="none"/>
              </w:rPr>
            </w:pPr>
            <w:r>
              <w:rPr>
                <w:rFonts w:hint="default" w:ascii="Times New Roman" w:hAnsi="Times New Roman" w:cs="Times New Roman"/>
                <w:highlight w:val="none"/>
              </w:rPr>
              <w:t>装卸阀门安装位置应根据不同的运输介质，满足以下要求：</w:t>
            </w:r>
          </w:p>
          <w:p w14:paraId="06F03B12">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运输轻质燃油的车辆的装卸阀门应设置在车辆侧面，位于前轴与后下部防护之间的位置</w:t>
            </w:r>
            <w:r>
              <w:rPr>
                <w:rFonts w:hint="default" w:ascii="Times New Roman" w:hAnsi="Times New Roman" w:cs="Times New Roman"/>
                <w:highlight w:val="none"/>
                <w:lang w:eastAsia="zh-CN"/>
              </w:rPr>
              <w:t>，</w:t>
            </w:r>
            <w:r>
              <w:rPr>
                <w:rFonts w:hint="default" w:ascii="Times New Roman" w:hAnsi="Times New Roman" w:cs="Times New Roman"/>
                <w:highlight w:val="none"/>
              </w:rPr>
              <w:t>运输轻质燃油的半挂车的装卸阀门应</w:t>
            </w:r>
            <w:r>
              <w:rPr>
                <w:rFonts w:hint="default" w:ascii="Times New Roman" w:hAnsi="Times New Roman" w:cs="Times New Roman"/>
                <w:highlight w:val="none"/>
                <w:lang w:val="en-US" w:eastAsia="zh-CN"/>
              </w:rPr>
              <w:t>位于</w:t>
            </w:r>
            <w:r>
              <w:rPr>
                <w:rFonts w:hint="default" w:ascii="Times New Roman" w:hAnsi="Times New Roman" w:cs="Times New Roman"/>
                <w:highlight w:val="none"/>
              </w:rPr>
              <w:t>支腿与后下防护之间的位置；</w:t>
            </w:r>
          </w:p>
          <w:p w14:paraId="0F09C1A6">
            <w:pPr>
              <w:pStyle w:val="21"/>
              <w:numPr>
                <w:ilvl w:val="0"/>
                <w:numId w:val="0"/>
              </w:numPr>
              <w:rPr>
                <w:rFonts w:hint="default" w:ascii="Times New Roman" w:hAnsi="Times New Roman" w:eastAsia="宋体" w:cs="Times New Roman"/>
                <w:lang w:val="en-US" w:eastAsia="zh-CN"/>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设计代码第三位为A和B的，装卸管路位于罐体底部的危险货物运输车辆，装卸阀门应设置在车辆侧面，位于前轴与后下部防护之间的位置</w:t>
            </w:r>
            <w:r>
              <w:rPr>
                <w:rFonts w:hint="default" w:ascii="Times New Roman" w:hAnsi="Times New Roman" w:cs="Times New Roman"/>
                <w:highlight w:val="none"/>
                <w:lang w:eastAsia="zh-CN"/>
              </w:rPr>
              <w:t>，</w:t>
            </w:r>
            <w:r>
              <w:rPr>
                <w:rFonts w:hint="default" w:ascii="Times New Roman" w:hAnsi="Times New Roman" w:cs="Times New Roman"/>
                <w:highlight w:val="none"/>
              </w:rPr>
              <w:t>半挂车的装卸阀门应</w:t>
            </w:r>
            <w:r>
              <w:rPr>
                <w:rFonts w:hint="default" w:ascii="Times New Roman" w:hAnsi="Times New Roman" w:cs="Times New Roman"/>
                <w:highlight w:val="none"/>
                <w:lang w:val="en-US" w:eastAsia="zh-CN"/>
              </w:rPr>
              <w:t>位于</w:t>
            </w:r>
            <w:r>
              <w:rPr>
                <w:rFonts w:hint="default" w:ascii="Times New Roman" w:hAnsi="Times New Roman" w:cs="Times New Roman"/>
                <w:highlight w:val="none"/>
              </w:rPr>
              <w:t>支腿与后下部防护之间的位置。</w:t>
            </w:r>
          </w:p>
        </w:tc>
        <w:tc>
          <w:tcPr>
            <w:tcW w:w="3224" w:type="dxa"/>
            <w:tcBorders>
              <w:top w:val="single" w:color="auto" w:sz="4" w:space="0"/>
              <w:left w:val="single" w:color="auto" w:sz="6" w:space="0"/>
              <w:bottom w:val="single" w:color="auto" w:sz="4" w:space="0"/>
              <w:right w:val="single" w:color="auto" w:sz="6" w:space="0"/>
            </w:tcBorders>
            <w:vAlign w:val="center"/>
          </w:tcPr>
          <w:p w14:paraId="743673B7">
            <w:pPr>
              <w:pStyle w:val="21"/>
              <w:keepNext w:val="0"/>
              <w:keepLines w:val="0"/>
              <w:pageBreakBefore w:val="0"/>
              <w:numPr>
                <w:ilvl w:val="0"/>
                <w:numId w:val="0"/>
              </w:numPr>
              <w:kinsoku/>
              <w:wordWrap/>
              <w:overflowPunct/>
              <w:topLinePunct w:val="0"/>
              <w:autoSpaceDE/>
              <w:autoSpaceDN/>
              <w:bidi w:val="0"/>
              <w:snapToGrid/>
              <w:spacing w:line="260" w:lineRule="exact"/>
              <w:ind w:left="0" w:leftChars="0" w:firstLine="0" w:firstLineChars="0"/>
              <w:rPr>
                <w:rFonts w:hint="default" w:ascii="Times New Roman" w:hAnsi="Times New Roman"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D3B9D37">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02E1AFA">
            <w:pPr>
              <w:spacing w:line="240" w:lineRule="exact"/>
              <w:jc w:val="center"/>
              <w:rPr>
                <w:rFonts w:hint="eastAsia" w:ascii="Times New Roman" w:hAnsi="Times New Roman" w:eastAsia="宋体" w:cs="Times New Roman"/>
                <w:sz w:val="21"/>
                <w:szCs w:val="21"/>
                <w:lang w:val="en-US" w:eastAsia="zh-CN"/>
              </w:rPr>
            </w:pPr>
          </w:p>
        </w:tc>
      </w:tr>
    </w:tbl>
    <w:p w14:paraId="57B6BC8B">
      <w:pPr>
        <w:pStyle w:val="9"/>
        <w:rPr>
          <w:rFonts w:hint="default" w:ascii="Times New Roman" w:hAnsi="Times New Roman" w:cs="Times New Roman"/>
          <w:kern w:val="2"/>
          <w:sz w:val="21"/>
        </w:rPr>
      </w:pPr>
    </w:p>
    <w:p w14:paraId="57CE2207">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739BDFED">
      <w:pPr>
        <w:pStyle w:val="9"/>
        <w:rPr>
          <w:rFonts w:hint="default" w:ascii="Times New Roman" w:hAnsi="Times New Roman" w:cs="Times New Roman"/>
          <w:kern w:val="2"/>
          <w:sz w:val="21"/>
        </w:rPr>
      </w:pPr>
    </w:p>
    <w:p w14:paraId="34BC7424">
      <w:pPr>
        <w:spacing w:line="240" w:lineRule="exact"/>
        <w:jc w:val="both"/>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264"/>
        <w:gridCol w:w="264"/>
        <w:gridCol w:w="3520"/>
        <w:gridCol w:w="3224"/>
        <w:gridCol w:w="709"/>
        <w:gridCol w:w="709"/>
      </w:tblGrid>
      <w:tr w14:paraId="555836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592C0D38">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gridSpan w:val="2"/>
            <w:tcBorders>
              <w:top w:val="single" w:color="auto" w:sz="4" w:space="0"/>
              <w:left w:val="single" w:color="auto" w:sz="4" w:space="0"/>
              <w:bottom w:val="single" w:color="auto" w:sz="6" w:space="0"/>
              <w:right w:val="single" w:color="auto" w:sz="6" w:space="0"/>
            </w:tcBorders>
            <w:vAlign w:val="center"/>
          </w:tcPr>
          <w:p w14:paraId="279A666F">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520" w:type="dxa"/>
            <w:tcBorders>
              <w:top w:val="single" w:color="auto" w:sz="4" w:space="0"/>
              <w:left w:val="single" w:color="auto" w:sz="6" w:space="0"/>
              <w:bottom w:val="single" w:color="auto" w:sz="6" w:space="0"/>
              <w:right w:val="single" w:color="auto" w:sz="6" w:space="0"/>
            </w:tcBorders>
            <w:vAlign w:val="center"/>
          </w:tcPr>
          <w:p w14:paraId="4FFCA63F">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5C8DC466">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30CC40B7">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30CBEB59">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23B93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185" w:hRule="atLeast"/>
        </w:trPr>
        <w:tc>
          <w:tcPr>
            <w:tcW w:w="345" w:type="dxa"/>
            <w:tcBorders>
              <w:left w:val="single" w:color="auto" w:sz="4" w:space="0"/>
              <w:bottom w:val="single" w:color="auto" w:sz="4" w:space="0"/>
              <w:right w:val="single" w:color="auto" w:sz="4" w:space="0"/>
            </w:tcBorders>
            <w:vAlign w:val="center"/>
          </w:tcPr>
          <w:p w14:paraId="0C43252E">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68</w:t>
            </w:r>
          </w:p>
        </w:tc>
        <w:tc>
          <w:tcPr>
            <w:tcW w:w="264" w:type="dxa"/>
            <w:vMerge w:val="restart"/>
            <w:tcBorders>
              <w:left w:val="single" w:color="auto" w:sz="4" w:space="0"/>
              <w:right w:val="single" w:color="auto" w:sz="6" w:space="0"/>
            </w:tcBorders>
            <w:vAlign w:val="center"/>
          </w:tcPr>
          <w:p w14:paraId="7C8C7C2D">
            <w:pPr>
              <w:pStyle w:val="21"/>
              <w:numPr>
                <w:ilvl w:val="0"/>
                <w:numId w:val="0"/>
              </w:numPr>
              <w:rPr>
                <w:rFonts w:hint="default" w:ascii="Times New Roman" w:hAnsi="Times New Roman" w:cs="Times New Roman"/>
              </w:rPr>
            </w:pPr>
            <w:r>
              <w:rPr>
                <w:rFonts w:hint="default" w:ascii="Times New Roman" w:hAnsi="Times New Roman" w:cs="Times New Roman"/>
              </w:rPr>
              <w:t>运输危险货物的罐式车辆专项要求</w:t>
            </w:r>
          </w:p>
          <w:p w14:paraId="0611A1F1">
            <w:pPr>
              <w:spacing w:line="240" w:lineRule="exact"/>
              <w:jc w:val="center"/>
              <w:rPr>
                <w:rFonts w:hint="default" w:ascii="Times New Roman" w:hAnsi="Times New Roman" w:eastAsia="宋体" w:cs="Times New Roman"/>
                <w:sz w:val="21"/>
                <w:szCs w:val="21"/>
                <w:lang w:val="en-US" w:eastAsia="zh-CN"/>
              </w:rPr>
            </w:pPr>
          </w:p>
        </w:tc>
        <w:tc>
          <w:tcPr>
            <w:tcW w:w="264" w:type="dxa"/>
            <w:vMerge w:val="restart"/>
            <w:tcBorders>
              <w:left w:val="single" w:color="auto" w:sz="4" w:space="0"/>
              <w:right w:val="single" w:color="auto" w:sz="6" w:space="0"/>
            </w:tcBorders>
            <w:vAlign w:val="center"/>
          </w:tcPr>
          <w:p w14:paraId="0A35C91E">
            <w:pPr>
              <w:spacing w:line="24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rPr>
              <w:t>常压罐式危险货物运输车辆的</w:t>
            </w:r>
            <w:r>
              <w:rPr>
                <w:rFonts w:hint="default" w:ascii="Times New Roman" w:hAnsi="Times New Roman" w:cs="Times New Roman"/>
                <w:lang w:val="en-US" w:eastAsia="zh-CN"/>
              </w:rPr>
              <w:t>要求</w:t>
            </w:r>
          </w:p>
        </w:tc>
        <w:tc>
          <w:tcPr>
            <w:tcW w:w="3520" w:type="dxa"/>
            <w:tcBorders>
              <w:top w:val="single" w:color="auto" w:sz="4" w:space="0"/>
              <w:left w:val="single" w:color="auto" w:sz="6" w:space="0"/>
              <w:bottom w:val="single" w:color="auto" w:sz="4" w:space="0"/>
              <w:right w:val="single" w:color="auto" w:sz="6" w:space="0"/>
            </w:tcBorders>
            <w:vAlign w:val="center"/>
          </w:tcPr>
          <w:p w14:paraId="174973A4">
            <w:pPr>
              <w:pStyle w:val="22"/>
              <w:numPr>
                <w:ilvl w:val="4"/>
                <w:numId w:val="0"/>
              </w:numPr>
              <w:ind w:leftChars="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运输GB 6944</w:t>
            </w:r>
            <w:r>
              <w:rPr>
                <w:rFonts w:hint="eastAsia" w:ascii="Times New Roman" w:cs="Times New Roman"/>
                <w:highlight w:val="none"/>
                <w:lang w:val="en-US" w:eastAsia="zh-CN"/>
              </w:rPr>
              <w:t>-2025</w:t>
            </w:r>
            <w:r>
              <w:rPr>
                <w:rFonts w:hint="default" w:ascii="Times New Roman" w:hAnsi="Times New Roman" w:cs="Times New Roman"/>
                <w:highlight w:val="none"/>
              </w:rPr>
              <w:t>中第3类易燃液体的罐式车辆应配备满足QC/T 1064要求的呼吸阀和满足QC/T 1065要求的人孔盖。</w:t>
            </w:r>
          </w:p>
        </w:tc>
        <w:tc>
          <w:tcPr>
            <w:tcW w:w="3224" w:type="dxa"/>
            <w:tcBorders>
              <w:top w:val="single" w:color="auto" w:sz="4" w:space="0"/>
              <w:left w:val="single" w:color="auto" w:sz="6" w:space="0"/>
              <w:bottom w:val="single" w:color="auto" w:sz="4" w:space="0"/>
              <w:right w:val="single" w:color="auto" w:sz="6" w:space="0"/>
            </w:tcBorders>
            <w:vAlign w:val="center"/>
          </w:tcPr>
          <w:p w14:paraId="7A02ADB4">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135F3AEE">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F3FDD0A">
            <w:pPr>
              <w:spacing w:line="240" w:lineRule="exact"/>
              <w:jc w:val="center"/>
              <w:rPr>
                <w:rFonts w:hint="eastAsia" w:ascii="Times New Roman" w:hAnsi="Times New Roman" w:eastAsia="宋体" w:cs="Times New Roman"/>
                <w:sz w:val="21"/>
                <w:szCs w:val="21"/>
                <w:lang w:val="en-US" w:eastAsia="zh-CN"/>
              </w:rPr>
            </w:pPr>
          </w:p>
        </w:tc>
      </w:tr>
      <w:tr w14:paraId="1A2720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907" w:hRule="atLeast"/>
        </w:trPr>
        <w:tc>
          <w:tcPr>
            <w:tcW w:w="345" w:type="dxa"/>
            <w:tcBorders>
              <w:top w:val="single" w:color="auto" w:sz="4" w:space="0"/>
              <w:left w:val="single" w:color="auto" w:sz="4" w:space="0"/>
              <w:bottom w:val="single" w:color="auto" w:sz="4" w:space="0"/>
              <w:right w:val="single" w:color="auto" w:sz="4" w:space="0"/>
            </w:tcBorders>
            <w:vAlign w:val="center"/>
          </w:tcPr>
          <w:p w14:paraId="6353829B">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69</w:t>
            </w:r>
          </w:p>
        </w:tc>
        <w:tc>
          <w:tcPr>
            <w:tcW w:w="264" w:type="dxa"/>
            <w:vMerge w:val="continue"/>
            <w:tcBorders>
              <w:left w:val="single" w:color="auto" w:sz="4" w:space="0"/>
              <w:right w:val="single" w:color="auto" w:sz="6" w:space="0"/>
            </w:tcBorders>
            <w:vAlign w:val="center"/>
          </w:tcPr>
          <w:p w14:paraId="1C16DA96">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75A0C7A7">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1F3DBE34">
            <w:pPr>
              <w:pStyle w:val="22"/>
              <w:numPr>
                <w:ilvl w:val="4"/>
                <w:numId w:val="0"/>
              </w:numPr>
              <w:ind w:leftChars="0"/>
              <w:rPr>
                <w:rFonts w:hint="default" w:ascii="Times New Roman" w:hAnsi="Times New Roman" w:cs="Times New Roman"/>
                <w:highlight w:val="none"/>
              </w:rPr>
            </w:pPr>
            <w:r>
              <w:rPr>
                <w:rFonts w:hint="default" w:ascii="Times New Roman" w:hAnsi="Times New Roman" w:cs="Times New Roman"/>
                <w:highlight w:val="none"/>
              </w:rPr>
              <w:t>运输轻质燃油和用于轻质燃油</w:t>
            </w:r>
            <w:r>
              <w:rPr>
                <w:rFonts w:hint="default" w:ascii="Times New Roman" w:hAnsi="Times New Roman" w:cs="Times New Roman"/>
                <w:color w:val="000000"/>
                <w:highlight w:val="none"/>
              </w:rPr>
              <w:t>加油作业</w:t>
            </w:r>
            <w:r>
              <w:rPr>
                <w:rFonts w:hint="default" w:ascii="Times New Roman" w:hAnsi="Times New Roman" w:cs="Times New Roman"/>
                <w:highlight w:val="none"/>
              </w:rPr>
              <w:t>的罐式车辆，还应满足以下要求：</w:t>
            </w:r>
          </w:p>
          <w:p w14:paraId="4CC5CF54">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配备符合QC/T 1061规定的防溢流系统；</w:t>
            </w:r>
          </w:p>
          <w:p w14:paraId="20958114">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配备符合QC/T 1062规定的卸油阀；</w:t>
            </w:r>
          </w:p>
          <w:p w14:paraId="25516394">
            <w:pPr>
              <w:pStyle w:val="21"/>
              <w:numPr>
                <w:ilvl w:val="0"/>
                <w:numId w:val="0"/>
              </w:numPr>
              <w:rPr>
                <w:rFonts w:hint="default" w:ascii="Times New Roman" w:hAnsi="Times New Roman" w:cs="Times New Roman"/>
                <w:highlight w:val="none"/>
              </w:rPr>
            </w:pPr>
            <w:r>
              <w:rPr>
                <w:rFonts w:hint="default" w:ascii="Times New Roman" w:hAnsi="Times New Roman" w:cs="Times New Roman"/>
                <w:highlight w:val="none"/>
                <w:lang w:val="en-US" w:eastAsia="zh-CN"/>
              </w:rPr>
              <w:t>c）</w:t>
            </w:r>
            <w:r>
              <w:rPr>
                <w:rFonts w:hint="default" w:ascii="Times New Roman" w:hAnsi="Times New Roman" w:cs="Times New Roman"/>
                <w:highlight w:val="none"/>
              </w:rPr>
              <w:t>配备油气回收系统，油气回收系统组件符合QC/T 1063的规定。</w:t>
            </w:r>
          </w:p>
          <w:p w14:paraId="2F5A6949">
            <w:pPr>
              <w:pStyle w:val="21"/>
              <w:numPr>
                <w:ilvl w:val="0"/>
                <w:numId w:val="0"/>
              </w:numPr>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d）</w:t>
            </w:r>
            <w:r>
              <w:rPr>
                <w:rFonts w:hint="default" w:ascii="Times New Roman" w:hAnsi="Times New Roman" w:cs="Times New Roman"/>
                <w:highlight w:val="none"/>
              </w:rPr>
              <w:t>每个分仓至少设置1个防溢流传感器、1个呼吸阀和1个人孔盖；分仓容积大于12 m³时，至少设置2个呼吸阀。</w:t>
            </w:r>
          </w:p>
        </w:tc>
        <w:tc>
          <w:tcPr>
            <w:tcW w:w="3224" w:type="dxa"/>
            <w:tcBorders>
              <w:top w:val="single" w:color="auto" w:sz="4" w:space="0"/>
              <w:left w:val="single" w:color="auto" w:sz="6" w:space="0"/>
              <w:bottom w:val="single" w:color="auto" w:sz="4" w:space="0"/>
              <w:right w:val="single" w:color="auto" w:sz="6" w:space="0"/>
            </w:tcBorders>
            <w:vAlign w:val="center"/>
          </w:tcPr>
          <w:p w14:paraId="0711663C">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39BBCC1B">
            <w:pPr>
              <w:spacing w:line="240" w:lineRule="exact"/>
              <w:jc w:val="center"/>
              <w:rPr>
                <w:rFonts w:hint="eastAsia" w:ascii="Times New Roman" w:hAnsi="Times New Roman" w:eastAsia="宋体" w:cs="Times New Roman"/>
                <w:sz w:val="21"/>
                <w:szCs w:val="21"/>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49F70D59">
            <w:pPr>
              <w:spacing w:line="240" w:lineRule="exact"/>
              <w:jc w:val="center"/>
              <w:rPr>
                <w:rFonts w:hint="eastAsia" w:ascii="Times New Roman" w:hAnsi="Times New Roman" w:eastAsia="宋体" w:cs="Times New Roman"/>
                <w:sz w:val="21"/>
                <w:szCs w:val="21"/>
                <w:lang w:val="en-US" w:eastAsia="zh-CN"/>
              </w:rPr>
            </w:pPr>
          </w:p>
        </w:tc>
      </w:tr>
      <w:tr w14:paraId="51BA82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35" w:hRule="atLeast"/>
        </w:trPr>
        <w:tc>
          <w:tcPr>
            <w:tcW w:w="345" w:type="dxa"/>
            <w:tcBorders>
              <w:top w:val="single" w:color="auto" w:sz="4" w:space="0"/>
              <w:left w:val="single" w:color="auto" w:sz="4" w:space="0"/>
              <w:bottom w:val="single" w:color="auto" w:sz="4" w:space="0"/>
              <w:right w:val="single" w:color="auto" w:sz="4" w:space="0"/>
            </w:tcBorders>
            <w:vAlign w:val="center"/>
          </w:tcPr>
          <w:p w14:paraId="23AE8626">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70</w:t>
            </w:r>
          </w:p>
        </w:tc>
        <w:tc>
          <w:tcPr>
            <w:tcW w:w="264" w:type="dxa"/>
            <w:vMerge w:val="continue"/>
            <w:tcBorders>
              <w:left w:val="single" w:color="auto" w:sz="4" w:space="0"/>
              <w:right w:val="single" w:color="auto" w:sz="6" w:space="0"/>
            </w:tcBorders>
            <w:vAlign w:val="center"/>
          </w:tcPr>
          <w:p w14:paraId="0DC8EA51">
            <w:pPr>
              <w:spacing w:line="240" w:lineRule="exact"/>
              <w:jc w:val="center"/>
              <w:rPr>
                <w:rFonts w:hint="default" w:ascii="Times New Roman" w:hAnsi="Times New Roman" w:eastAsia="宋体" w:cs="Times New Roman"/>
                <w:sz w:val="21"/>
                <w:szCs w:val="21"/>
                <w:lang w:val="en-US" w:eastAsia="zh-CN"/>
              </w:rPr>
            </w:pPr>
          </w:p>
        </w:tc>
        <w:tc>
          <w:tcPr>
            <w:tcW w:w="264" w:type="dxa"/>
            <w:vMerge w:val="restart"/>
            <w:tcBorders>
              <w:left w:val="single" w:color="auto" w:sz="4" w:space="0"/>
              <w:right w:val="single" w:color="auto" w:sz="6" w:space="0"/>
            </w:tcBorders>
            <w:vAlign w:val="center"/>
          </w:tcPr>
          <w:p w14:paraId="522237E8">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lang w:val="en-US" w:eastAsia="zh-CN"/>
              </w:rPr>
              <w:t>承</w:t>
            </w:r>
            <w:r>
              <w:rPr>
                <w:rFonts w:hint="default" w:ascii="Times New Roman" w:hAnsi="Times New Roman" w:cs="Times New Roman"/>
              </w:rPr>
              <w:t>压罐式危险货物运输车辆的</w:t>
            </w:r>
            <w:r>
              <w:rPr>
                <w:rFonts w:hint="default" w:ascii="Times New Roman" w:hAnsi="Times New Roman" w:cs="Times New Roman"/>
                <w:lang w:val="en-US" w:eastAsia="zh-CN"/>
              </w:rPr>
              <w:t>要求</w:t>
            </w:r>
          </w:p>
        </w:tc>
        <w:tc>
          <w:tcPr>
            <w:tcW w:w="3520" w:type="dxa"/>
            <w:tcBorders>
              <w:top w:val="single" w:color="auto" w:sz="4" w:space="0"/>
              <w:left w:val="single" w:color="auto" w:sz="6" w:space="0"/>
              <w:bottom w:val="single" w:color="auto" w:sz="4" w:space="0"/>
              <w:right w:val="single" w:color="auto" w:sz="6" w:space="0"/>
            </w:tcBorders>
            <w:vAlign w:val="center"/>
          </w:tcPr>
          <w:p w14:paraId="24D8E1C0">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color w:val="auto"/>
                <w:highlight w:val="none"/>
              </w:rPr>
              <w:t>承压罐式危险货物运输车辆的罐体、安全附件、装卸附件应满足TSG R0005的要求</w:t>
            </w:r>
            <w:r>
              <w:rPr>
                <w:rFonts w:hint="default" w:ascii="Times New Roman" w:hAnsi="Times New Roman" w:cs="Times New Roman"/>
                <w:color w:val="auto"/>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4BE401A8">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7D454CB2">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4A276B05">
            <w:pPr>
              <w:spacing w:line="240" w:lineRule="exact"/>
              <w:jc w:val="center"/>
              <w:rPr>
                <w:rFonts w:hint="default" w:ascii="Times New Roman" w:hAnsi="Times New Roman" w:cs="Times New Roman"/>
                <w:sz w:val="21"/>
                <w:szCs w:val="21"/>
              </w:rPr>
            </w:pPr>
          </w:p>
        </w:tc>
      </w:tr>
      <w:tr w14:paraId="497236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63" w:hRule="atLeast"/>
        </w:trPr>
        <w:tc>
          <w:tcPr>
            <w:tcW w:w="345" w:type="dxa"/>
            <w:tcBorders>
              <w:top w:val="single" w:color="auto" w:sz="4" w:space="0"/>
              <w:left w:val="single" w:color="auto" w:sz="4" w:space="0"/>
              <w:bottom w:val="single" w:color="auto" w:sz="4" w:space="0"/>
              <w:right w:val="single" w:color="auto" w:sz="4" w:space="0"/>
            </w:tcBorders>
            <w:vAlign w:val="center"/>
          </w:tcPr>
          <w:p w14:paraId="1EEEAB42">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71</w:t>
            </w:r>
          </w:p>
        </w:tc>
        <w:tc>
          <w:tcPr>
            <w:tcW w:w="264" w:type="dxa"/>
            <w:vMerge w:val="continue"/>
            <w:tcBorders>
              <w:left w:val="single" w:color="auto" w:sz="4" w:space="0"/>
              <w:right w:val="single" w:color="auto" w:sz="6" w:space="0"/>
            </w:tcBorders>
            <w:vAlign w:val="center"/>
          </w:tcPr>
          <w:p w14:paraId="068DE11E">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17573595">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14FC8D3B">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color w:val="auto"/>
                <w:highlight w:val="none"/>
              </w:rPr>
              <w:t>设置在罐体后部的装卸阀门、仪表等附属装置应集中布置在金属材料阀门箱内</w:t>
            </w:r>
            <w:r>
              <w:rPr>
                <w:rFonts w:hint="default" w:ascii="Times New Roman" w:hAnsi="Times New Roman" w:cs="Times New Roman"/>
                <w:color w:val="auto"/>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1582DF71">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C33FA77">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51C98213">
            <w:pPr>
              <w:spacing w:line="240" w:lineRule="exact"/>
              <w:jc w:val="center"/>
              <w:rPr>
                <w:rFonts w:hint="default" w:ascii="Times New Roman" w:hAnsi="Times New Roman" w:cs="Times New Roman"/>
                <w:sz w:val="21"/>
                <w:szCs w:val="21"/>
              </w:rPr>
            </w:pPr>
          </w:p>
        </w:tc>
      </w:tr>
      <w:tr w14:paraId="01EC73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51" w:hRule="atLeast"/>
        </w:trPr>
        <w:tc>
          <w:tcPr>
            <w:tcW w:w="345" w:type="dxa"/>
            <w:tcBorders>
              <w:top w:val="single" w:color="auto" w:sz="4" w:space="0"/>
              <w:left w:val="single" w:color="auto" w:sz="4" w:space="0"/>
              <w:bottom w:val="single" w:color="auto" w:sz="4" w:space="0"/>
              <w:right w:val="single" w:color="auto" w:sz="4" w:space="0"/>
            </w:tcBorders>
            <w:vAlign w:val="center"/>
          </w:tcPr>
          <w:p w14:paraId="7282FA8D">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72</w:t>
            </w:r>
          </w:p>
        </w:tc>
        <w:tc>
          <w:tcPr>
            <w:tcW w:w="264" w:type="dxa"/>
            <w:vMerge w:val="continue"/>
            <w:tcBorders>
              <w:left w:val="single" w:color="auto" w:sz="4" w:space="0"/>
              <w:right w:val="single" w:color="auto" w:sz="6" w:space="0"/>
            </w:tcBorders>
            <w:vAlign w:val="center"/>
          </w:tcPr>
          <w:p w14:paraId="3CE35AF4">
            <w:pPr>
              <w:spacing w:line="240" w:lineRule="exact"/>
              <w:jc w:val="center"/>
              <w:rPr>
                <w:rFonts w:hint="default" w:ascii="Times New Roman" w:hAnsi="Times New Roman" w:eastAsia="宋体" w:cs="Times New Roman"/>
                <w:sz w:val="21"/>
                <w:szCs w:val="21"/>
                <w:lang w:val="en-US" w:eastAsia="zh-CN"/>
              </w:rPr>
            </w:pPr>
          </w:p>
        </w:tc>
        <w:tc>
          <w:tcPr>
            <w:tcW w:w="264" w:type="dxa"/>
            <w:vMerge w:val="continue"/>
            <w:tcBorders>
              <w:left w:val="single" w:color="auto" w:sz="4" w:space="0"/>
              <w:right w:val="single" w:color="auto" w:sz="6" w:space="0"/>
            </w:tcBorders>
            <w:vAlign w:val="center"/>
          </w:tcPr>
          <w:p w14:paraId="691FF65C">
            <w:pPr>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380D1D9E">
            <w:pPr>
              <w:pStyle w:val="22"/>
              <w:numPr>
                <w:ilvl w:val="4"/>
                <w:numId w:val="0"/>
              </w:numPr>
              <w:ind w:leftChars="0"/>
              <w:rPr>
                <w:rFonts w:hint="default" w:ascii="Times New Roman" w:hAnsi="Times New Roman" w:cs="Times New Roman"/>
                <w:color w:val="auto"/>
                <w:highlight w:val="none"/>
              </w:rPr>
            </w:pPr>
            <w:r>
              <w:rPr>
                <w:rFonts w:hint="default" w:ascii="Times New Roman" w:hAnsi="Times New Roman" w:cs="Times New Roman"/>
                <w:color w:val="auto"/>
                <w:highlight w:val="none"/>
              </w:rPr>
              <w:t>装卸阀门的安装位置应根据不同的运输介质，分别满足以下要求：</w:t>
            </w:r>
          </w:p>
          <w:p w14:paraId="1C607D71">
            <w:pPr>
              <w:pStyle w:val="21"/>
              <w:numPr>
                <w:ilvl w:val="0"/>
                <w:numId w:val="0"/>
              </w:numPr>
              <w:rPr>
                <w:rFonts w:hint="default" w:ascii="Times New Roman" w:hAnsi="Times New Roman" w:cs="Times New Roman"/>
                <w:color w:val="auto"/>
                <w:highlight w:val="none"/>
              </w:rPr>
            </w:pPr>
            <w:r>
              <w:rPr>
                <w:rFonts w:hint="default" w:ascii="Times New Roman" w:hAnsi="Times New Roman" w:cs="Times New Roman"/>
                <w:highlight w:val="none"/>
                <w:lang w:val="en-US" w:eastAsia="zh-CN"/>
              </w:rPr>
              <w:t>a）</w:t>
            </w:r>
            <w:r>
              <w:rPr>
                <w:rFonts w:hint="default" w:ascii="Times New Roman" w:hAnsi="Times New Roman" w:cs="Times New Roman"/>
                <w:color w:val="auto"/>
                <w:highlight w:val="none"/>
              </w:rPr>
              <w:t>运输HG/T 20660中规定的毒性程度为极度或者高度危害类介质的危险货物运输车辆，应当采用上装上卸的装卸方式，液面以下不允许开口；</w:t>
            </w:r>
          </w:p>
          <w:p w14:paraId="477C5750">
            <w:pPr>
              <w:pStyle w:val="21"/>
              <w:numPr>
                <w:ilvl w:val="0"/>
                <w:numId w:val="0"/>
              </w:numPr>
              <w:rPr>
                <w:rFonts w:hint="default" w:ascii="Times New Roman" w:hAnsi="Times New Roman" w:cs="Times New Roman"/>
                <w:color w:val="auto"/>
                <w:highlight w:val="none"/>
              </w:rPr>
            </w:pPr>
            <w:r>
              <w:rPr>
                <w:rFonts w:hint="default" w:ascii="Times New Roman" w:hAnsi="Times New Roman" w:cs="Times New Roman"/>
                <w:highlight w:val="none"/>
                <w:lang w:val="en-US" w:eastAsia="zh-CN"/>
              </w:rPr>
              <w:t>b）</w:t>
            </w:r>
            <w:r>
              <w:rPr>
                <w:rFonts w:hint="default" w:ascii="Times New Roman" w:hAnsi="Times New Roman" w:cs="Times New Roman"/>
                <w:color w:val="auto"/>
                <w:highlight w:val="none"/>
              </w:rPr>
              <w:t>运输HG/T 20660中规定的毒性程度为极度或者高度危害类介质以外的液体、压缩气体和液化气体的危险货物运输车辆，其装卸阀门应设置在车辆侧面，</w:t>
            </w:r>
            <w:r>
              <w:rPr>
                <w:rFonts w:hint="default" w:ascii="Times New Roman" w:hAnsi="Times New Roman" w:cs="Times New Roman"/>
                <w:color w:val="auto"/>
                <w:highlight w:val="none"/>
                <w:lang w:val="en-US" w:eastAsia="zh-CN"/>
              </w:rPr>
              <w:t>位于</w:t>
            </w:r>
            <w:r>
              <w:rPr>
                <w:rFonts w:hint="default" w:ascii="Times New Roman" w:hAnsi="Times New Roman" w:cs="Times New Roman"/>
                <w:color w:val="auto"/>
                <w:highlight w:val="none"/>
              </w:rPr>
              <w:t>车辆前轴与后下部防护之间的位置</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半挂车的装卸阀门应</w:t>
            </w:r>
            <w:r>
              <w:rPr>
                <w:rFonts w:hint="default" w:ascii="Times New Roman" w:hAnsi="Times New Roman" w:cs="Times New Roman"/>
                <w:color w:val="auto"/>
                <w:highlight w:val="none"/>
                <w:lang w:val="en-US" w:eastAsia="zh-CN"/>
              </w:rPr>
              <w:t>位于</w:t>
            </w:r>
            <w:r>
              <w:rPr>
                <w:rFonts w:hint="default" w:ascii="Times New Roman" w:hAnsi="Times New Roman" w:cs="Times New Roman"/>
                <w:color w:val="auto"/>
                <w:highlight w:val="none"/>
              </w:rPr>
              <w:t>支腿与后下部防护之间的位置；</w:t>
            </w:r>
          </w:p>
          <w:p w14:paraId="56D7E48B">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c）</w:t>
            </w:r>
            <w:r>
              <w:rPr>
                <w:rFonts w:hint="default" w:ascii="Times New Roman" w:hAnsi="Times New Roman" w:cs="Times New Roman"/>
                <w:color w:val="auto"/>
                <w:highlight w:val="none"/>
              </w:rPr>
              <w:t>运输压缩气体的管束结构危险货物运输车辆和运输液态二氧化碳、冷冻液化气体及其他带卸液泵的液化气体危险货物运输车辆，装卸阀门</w:t>
            </w:r>
            <w:r>
              <w:rPr>
                <w:rFonts w:hint="eastAsia" w:ascii="Times New Roman" w:cs="Times New Roman"/>
                <w:color w:val="auto"/>
                <w:highlight w:val="none"/>
                <w:lang w:val="en-US" w:eastAsia="zh-CN"/>
              </w:rPr>
              <w:t>准许</w:t>
            </w:r>
            <w:r>
              <w:rPr>
                <w:rFonts w:hint="default" w:ascii="Times New Roman" w:hAnsi="Times New Roman" w:cs="Times New Roman"/>
                <w:color w:val="auto"/>
                <w:highlight w:val="none"/>
              </w:rPr>
              <w:t>设置在罐体后部</w:t>
            </w:r>
            <w:r>
              <w:rPr>
                <w:rFonts w:hint="default" w:ascii="Times New Roman" w:hAnsi="Times New Roman" w:cs="Times New Roman"/>
                <w:color w:val="auto"/>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7D8E5951">
            <w:pPr>
              <w:pStyle w:val="19"/>
              <w:keepNext w:val="0"/>
              <w:keepLines w:val="0"/>
              <w:pageBreakBefore w:val="0"/>
              <w:widowControl w:val="0"/>
              <w:numPr>
                <w:ilvl w:val="3"/>
                <w:numId w:val="0"/>
              </w:numPr>
              <w:kinsoku/>
              <w:wordWrap/>
              <w:overflowPunct/>
              <w:topLinePunct w:val="0"/>
              <w:autoSpaceDE/>
              <w:autoSpaceDN/>
              <w:bidi w:val="0"/>
              <w:adjustRightInd/>
              <w:snapToGrid/>
              <w:spacing w:line="260" w:lineRule="exact"/>
              <w:ind w:left="0" w:leftChars="0" w:firstLine="0" w:firstLineChars="0"/>
              <w:textAlignment w:val="auto"/>
              <w:rPr>
                <w:rFonts w:hint="default" w:ascii="Times New Roman" w:hAnsi="Times New Roman"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24436ABD">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363DFC75">
            <w:pPr>
              <w:spacing w:line="240" w:lineRule="exact"/>
              <w:jc w:val="center"/>
              <w:rPr>
                <w:rFonts w:hint="default" w:ascii="Times New Roman" w:hAnsi="Times New Roman" w:cs="Times New Roman"/>
                <w:sz w:val="21"/>
                <w:szCs w:val="21"/>
              </w:rPr>
            </w:pPr>
          </w:p>
        </w:tc>
      </w:tr>
    </w:tbl>
    <w:p w14:paraId="045ECA88">
      <w:pPr>
        <w:pStyle w:val="9"/>
        <w:rPr>
          <w:rFonts w:hint="default" w:ascii="Times New Roman" w:hAnsi="Times New Roman" w:cs="Times New Roman"/>
          <w:kern w:val="2"/>
          <w:sz w:val="21"/>
        </w:rPr>
      </w:pPr>
    </w:p>
    <w:p w14:paraId="3CCC2BD9">
      <w:pPr>
        <w:rPr>
          <w:rFonts w:hint="default" w:ascii="Times New Roman" w:hAnsi="Times New Roman" w:cs="Times New Roman"/>
          <w:kern w:val="2"/>
          <w:sz w:val="21"/>
        </w:rPr>
      </w:pPr>
      <w:r>
        <w:rPr>
          <w:rFonts w:hint="default" w:ascii="Times New Roman" w:hAnsi="Times New Roman" w:cs="Times New Roman"/>
          <w:kern w:val="2"/>
          <w:sz w:val="21"/>
        </w:rPr>
        <w:br w:type="page"/>
      </w:r>
    </w:p>
    <w:p w14:paraId="1FF714F4">
      <w:pPr>
        <w:spacing w:line="360" w:lineRule="auto"/>
        <w:rPr>
          <w:rFonts w:hint="default" w:ascii="Times New Roman" w:hAnsi="Times New Roman" w:cs="Times New Roman"/>
          <w:kern w:val="2"/>
          <w:sz w:val="21"/>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52"/>
        <w:gridCol w:w="3496"/>
        <w:gridCol w:w="3224"/>
        <w:gridCol w:w="709"/>
        <w:gridCol w:w="709"/>
      </w:tblGrid>
      <w:tr w14:paraId="11F631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0BFA45C1">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52" w:type="dxa"/>
            <w:tcBorders>
              <w:top w:val="single" w:color="auto" w:sz="4" w:space="0"/>
              <w:left w:val="single" w:color="auto" w:sz="4" w:space="0"/>
              <w:bottom w:val="single" w:color="auto" w:sz="6" w:space="0"/>
              <w:right w:val="single" w:color="auto" w:sz="6" w:space="0"/>
            </w:tcBorders>
            <w:vAlign w:val="center"/>
          </w:tcPr>
          <w:p w14:paraId="5231EA0F">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496" w:type="dxa"/>
            <w:tcBorders>
              <w:top w:val="single" w:color="auto" w:sz="4" w:space="0"/>
              <w:left w:val="single" w:color="auto" w:sz="6" w:space="0"/>
              <w:bottom w:val="single" w:color="auto" w:sz="6" w:space="0"/>
              <w:right w:val="single" w:color="auto" w:sz="6" w:space="0"/>
            </w:tcBorders>
            <w:vAlign w:val="center"/>
          </w:tcPr>
          <w:p w14:paraId="61C387BA">
            <w:pPr>
              <w:widowControl/>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69BB9CB4">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03A0B307">
            <w:pPr>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4A401ED4">
            <w:pPr>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54A93B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01" w:hRule="atLeast"/>
        </w:trPr>
        <w:tc>
          <w:tcPr>
            <w:tcW w:w="345" w:type="dxa"/>
            <w:tcBorders>
              <w:top w:val="single" w:color="auto" w:sz="4" w:space="0"/>
              <w:left w:val="single" w:color="auto" w:sz="4" w:space="0"/>
              <w:bottom w:val="single" w:color="auto" w:sz="4" w:space="0"/>
              <w:right w:val="single" w:color="auto" w:sz="4" w:space="0"/>
            </w:tcBorders>
            <w:vAlign w:val="center"/>
          </w:tcPr>
          <w:p w14:paraId="66847B95">
            <w:pPr>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73</w:t>
            </w:r>
          </w:p>
        </w:tc>
        <w:tc>
          <w:tcPr>
            <w:tcW w:w="552" w:type="dxa"/>
            <w:vMerge w:val="restart"/>
            <w:tcBorders>
              <w:top w:val="single" w:color="auto" w:sz="4" w:space="0"/>
              <w:left w:val="single" w:color="auto" w:sz="4" w:space="0"/>
              <w:right w:val="single" w:color="auto" w:sz="6" w:space="0"/>
            </w:tcBorders>
            <w:vAlign w:val="center"/>
          </w:tcPr>
          <w:p w14:paraId="062D9CB8">
            <w:pPr>
              <w:spacing w:line="24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用于运输特定类项危险货物的车辆专项要求</w:t>
            </w:r>
          </w:p>
        </w:tc>
        <w:tc>
          <w:tcPr>
            <w:tcW w:w="3496" w:type="dxa"/>
            <w:tcBorders>
              <w:top w:val="single" w:color="auto" w:sz="4" w:space="0"/>
              <w:left w:val="single" w:color="auto" w:sz="6" w:space="0"/>
              <w:bottom w:val="single" w:color="auto" w:sz="4" w:space="0"/>
              <w:right w:val="single" w:color="auto" w:sz="6" w:space="0"/>
            </w:tcBorders>
            <w:vAlign w:val="center"/>
          </w:tcPr>
          <w:p w14:paraId="33D9778F">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安装有用于制造和将非爆炸品转变为爆炸品的生产装置的车辆应满足GB 25527的要求</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shd w:val="clear" w:color="auto" w:fill="auto"/>
            <w:vAlign w:val="center"/>
          </w:tcPr>
          <w:p w14:paraId="54CD9FE9">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eastAsia="宋体" w:cs="Times New Roman"/>
                <w:sz w:val="21"/>
                <w:szCs w:val="21"/>
                <w:u w:val="none"/>
                <w:lang w:val="en-US" w:eastAsia="zh-CN" w:bidi="ar-SA"/>
              </w:rPr>
            </w:pPr>
          </w:p>
        </w:tc>
        <w:tc>
          <w:tcPr>
            <w:tcW w:w="709" w:type="dxa"/>
            <w:tcBorders>
              <w:top w:val="single" w:color="auto" w:sz="4" w:space="0"/>
              <w:left w:val="single" w:color="auto" w:sz="6" w:space="0"/>
              <w:bottom w:val="single" w:color="auto" w:sz="4" w:space="0"/>
              <w:right w:val="single" w:color="auto" w:sz="4" w:space="0"/>
            </w:tcBorders>
            <w:vAlign w:val="center"/>
          </w:tcPr>
          <w:p w14:paraId="133CBD4A">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6139816A">
            <w:pPr>
              <w:spacing w:line="240" w:lineRule="exact"/>
              <w:jc w:val="center"/>
              <w:rPr>
                <w:rFonts w:hint="default" w:ascii="Times New Roman" w:hAnsi="Times New Roman" w:cs="Times New Roman"/>
                <w:sz w:val="21"/>
                <w:szCs w:val="21"/>
              </w:rPr>
            </w:pPr>
          </w:p>
        </w:tc>
      </w:tr>
      <w:tr w14:paraId="109C35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814" w:hRule="atLeast"/>
        </w:trPr>
        <w:tc>
          <w:tcPr>
            <w:tcW w:w="345" w:type="dxa"/>
            <w:tcBorders>
              <w:top w:val="single" w:color="auto" w:sz="4" w:space="0"/>
              <w:left w:val="single" w:color="auto" w:sz="4" w:space="0"/>
              <w:bottom w:val="single" w:color="auto" w:sz="4" w:space="0"/>
              <w:right w:val="single" w:color="auto" w:sz="4" w:space="0"/>
            </w:tcBorders>
            <w:vAlign w:val="center"/>
          </w:tcPr>
          <w:p w14:paraId="0BEF99AC">
            <w:pPr>
              <w:spacing w:line="240" w:lineRule="exact"/>
              <w:jc w:val="center"/>
              <w:rPr>
                <w:rFonts w:hint="default" w:cs="Times New Roman"/>
                <w:sz w:val="21"/>
                <w:szCs w:val="21"/>
                <w:lang w:val="en-US" w:eastAsia="zh-CN"/>
              </w:rPr>
            </w:pPr>
            <w:r>
              <w:rPr>
                <w:rFonts w:hint="eastAsia" w:cs="Times New Roman"/>
                <w:sz w:val="21"/>
                <w:szCs w:val="21"/>
                <w:lang w:val="en-US" w:eastAsia="zh-CN"/>
              </w:rPr>
              <w:t>74</w:t>
            </w:r>
          </w:p>
        </w:tc>
        <w:tc>
          <w:tcPr>
            <w:tcW w:w="552" w:type="dxa"/>
            <w:vMerge w:val="continue"/>
            <w:tcBorders>
              <w:left w:val="single" w:color="auto" w:sz="4" w:space="0"/>
              <w:right w:val="single" w:color="auto" w:sz="6" w:space="0"/>
            </w:tcBorders>
            <w:vAlign w:val="center"/>
          </w:tcPr>
          <w:p w14:paraId="4E09D45C">
            <w:pPr>
              <w:spacing w:line="240" w:lineRule="exact"/>
              <w:jc w:val="center"/>
              <w:rPr>
                <w:rFonts w:hint="default" w:ascii="Times New Roman" w:hAnsi="Times New Roman" w:cs="Times New Roman"/>
                <w:sz w:val="21"/>
                <w:szCs w:val="21"/>
                <w:lang w:val="en-US" w:eastAsia="zh-CN"/>
              </w:rPr>
            </w:pPr>
          </w:p>
        </w:tc>
        <w:tc>
          <w:tcPr>
            <w:tcW w:w="3496" w:type="dxa"/>
            <w:tcBorders>
              <w:top w:val="single" w:color="auto" w:sz="4" w:space="0"/>
              <w:left w:val="single" w:color="auto" w:sz="6" w:space="0"/>
              <w:bottom w:val="single" w:color="auto" w:sz="4" w:space="0"/>
              <w:right w:val="single" w:color="auto" w:sz="6" w:space="0"/>
            </w:tcBorders>
            <w:vAlign w:val="center"/>
          </w:tcPr>
          <w:p w14:paraId="45DCBFB9">
            <w:pPr>
              <w:pStyle w:val="19"/>
              <w:keepNext w:val="0"/>
              <w:keepLines w:val="0"/>
              <w:pageBreakBefore w:val="0"/>
              <w:numPr>
                <w:ilvl w:val="3"/>
                <w:numId w:val="0"/>
              </w:numPr>
              <w:kinsoku/>
              <w:wordWrap/>
              <w:overflowPunct/>
              <w:topLinePunct w:val="0"/>
              <w:autoSpaceDE/>
              <w:autoSpaceDN/>
              <w:bidi w:val="0"/>
              <w:snapToGrid/>
              <w:spacing w:line="240" w:lineRule="exact"/>
              <w:ind w:leftChars="0"/>
              <w:rPr>
                <w:rFonts w:hint="eastAsia" w:ascii="Times New Roman" w:hAnsi="Times New Roman" w:eastAsia="宋体" w:cs="Times New Roman"/>
                <w:highlight w:val="none"/>
                <w:lang w:val="en-US" w:eastAsia="zh-CN"/>
              </w:rPr>
            </w:pPr>
            <w:r>
              <w:rPr>
                <w:rFonts w:hint="default" w:ascii="Times New Roman" w:hAnsi="Times New Roman" w:cs="Times New Roman"/>
                <w:highlight w:val="none"/>
              </w:rPr>
              <w:t>医疗废物运输车辆要求如下</w:t>
            </w:r>
            <w:r>
              <w:rPr>
                <w:rFonts w:hint="eastAsia" w:ascii="Times New Roman" w:cs="Times New Roman"/>
                <w:highlight w:val="none"/>
                <w:lang w:val="en-US" w:eastAsia="zh-CN"/>
              </w:rPr>
              <w:t>所列。</w:t>
            </w:r>
          </w:p>
          <w:p w14:paraId="5EFA66D9">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运输医疗废物的车辆应为具备整体封闭结构货厢的厢式车辆。</w:t>
            </w:r>
          </w:p>
          <w:p w14:paraId="416D6563">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货厢内部应设置高度方向限制装载线，并在货厢侧壁标识。按照车辆最大允许装载质量装载后，货厢内至少应有1/4的空间未装载。应依据车辆最大允许装载质量和医疗废物装载比重200kg/m³计算限制装载线高度。限制装载线应清晰醒目、不易脱落褪色。</w:t>
            </w:r>
          </w:p>
          <w:p w14:paraId="16250A1E">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c）</w:t>
            </w:r>
            <w:r>
              <w:rPr>
                <w:rFonts w:hint="default" w:ascii="Times New Roman" w:hAnsi="Times New Roman" w:cs="Times New Roman"/>
                <w:highlight w:val="none"/>
              </w:rPr>
              <w:t>货厢内部表面应采用防水、耐腐蚀、便于消毒和清洗的材料，货厢密封材料应耐腐蚀。</w:t>
            </w:r>
          </w:p>
          <w:p w14:paraId="56365BF6">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d）</w:t>
            </w:r>
            <w:r>
              <w:rPr>
                <w:rFonts w:hint="default" w:ascii="Times New Roman" w:hAnsi="Times New Roman" w:cs="Times New Roman"/>
                <w:highlight w:val="none"/>
              </w:rPr>
              <w:t>载货区域应安装负压装置，且与驾驶室完全隔开。车辆在静止和行驶情况下启动负压装置，负压装置稳定运行1 min后，货厢内相对压强应为-30Pa～-10Pa，并可持续保持。负压装置应具备换气消毒功能。货厢气密性应符合GB 29753的规定。</w:t>
            </w:r>
          </w:p>
          <w:p w14:paraId="6397E028">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e）</w:t>
            </w:r>
            <w:r>
              <w:rPr>
                <w:rFonts w:hint="default" w:ascii="Times New Roman" w:hAnsi="Times New Roman" w:cs="Times New Roman"/>
                <w:highlight w:val="none"/>
              </w:rPr>
              <w:t>货厢应设置用于医疗废物专用包装物栓固的系固点，货厢机械性能应符合GB 29753的规定。</w:t>
            </w:r>
          </w:p>
          <w:p w14:paraId="0E59530F">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f）</w:t>
            </w:r>
            <w:r>
              <w:rPr>
                <w:rFonts w:hint="default" w:ascii="Times New Roman" w:hAnsi="Times New Roman" w:cs="Times New Roman"/>
                <w:highlight w:val="none"/>
              </w:rPr>
              <w:t>货厢应经防渗处理，货厢内部的液体不应渗漏到厢体保温层和外部环境中。货厢底部应设置排水孔和集水导流装置，不应使污水直接漫流到外部环境中。</w:t>
            </w:r>
          </w:p>
          <w:p w14:paraId="37527A4F">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g）</w:t>
            </w:r>
            <w:r>
              <w:rPr>
                <w:rFonts w:hint="default" w:ascii="Times New Roman" w:hAnsi="Times New Roman" w:cs="Times New Roman"/>
                <w:highlight w:val="none"/>
              </w:rPr>
              <w:t>具有货厢温度调节功能的车辆，其货厢温度调节装置与驾驶室空调系统应相互独立、隔离。车辆的降温性能、保温性能和货厢的隔热性能应符合GB 29753的规定。</w:t>
            </w:r>
          </w:p>
        </w:tc>
        <w:tc>
          <w:tcPr>
            <w:tcW w:w="3224" w:type="dxa"/>
            <w:tcBorders>
              <w:top w:val="single" w:color="auto" w:sz="4" w:space="0"/>
              <w:left w:val="single" w:color="auto" w:sz="6" w:space="0"/>
              <w:bottom w:val="single" w:color="auto" w:sz="4" w:space="0"/>
              <w:right w:val="single" w:color="auto" w:sz="6" w:space="0"/>
            </w:tcBorders>
            <w:shd w:val="clear" w:color="auto" w:fill="auto"/>
            <w:vAlign w:val="center"/>
          </w:tcPr>
          <w:p w14:paraId="7C29CF0C">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eastAsia="宋体" w:cs="Times New Roman"/>
                <w:sz w:val="21"/>
                <w:szCs w:val="21"/>
                <w:u w:val="none"/>
                <w:lang w:val="en-US" w:eastAsia="zh-CN" w:bidi="ar-SA"/>
              </w:rPr>
            </w:pPr>
          </w:p>
        </w:tc>
        <w:tc>
          <w:tcPr>
            <w:tcW w:w="709" w:type="dxa"/>
            <w:tcBorders>
              <w:top w:val="single" w:color="auto" w:sz="4" w:space="0"/>
              <w:left w:val="single" w:color="auto" w:sz="6" w:space="0"/>
              <w:bottom w:val="single" w:color="auto" w:sz="4" w:space="0"/>
              <w:right w:val="single" w:color="auto" w:sz="4" w:space="0"/>
            </w:tcBorders>
            <w:vAlign w:val="center"/>
          </w:tcPr>
          <w:p w14:paraId="13B20FA1">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25B87DA5">
            <w:pPr>
              <w:spacing w:line="240" w:lineRule="exact"/>
              <w:jc w:val="center"/>
              <w:rPr>
                <w:rFonts w:hint="default" w:ascii="Times New Roman" w:hAnsi="Times New Roman" w:cs="Times New Roman"/>
                <w:sz w:val="21"/>
                <w:szCs w:val="21"/>
              </w:rPr>
            </w:pPr>
          </w:p>
        </w:tc>
      </w:tr>
      <w:tr w14:paraId="4D4108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814" w:hRule="atLeast"/>
        </w:trPr>
        <w:tc>
          <w:tcPr>
            <w:tcW w:w="345" w:type="dxa"/>
            <w:tcBorders>
              <w:top w:val="single" w:color="auto" w:sz="4" w:space="0"/>
              <w:left w:val="single" w:color="auto" w:sz="4" w:space="0"/>
              <w:bottom w:val="single" w:color="auto" w:sz="4" w:space="0"/>
              <w:right w:val="single" w:color="auto" w:sz="4" w:space="0"/>
            </w:tcBorders>
            <w:vAlign w:val="center"/>
          </w:tcPr>
          <w:p w14:paraId="5EFC3908">
            <w:pPr>
              <w:spacing w:line="240" w:lineRule="exact"/>
              <w:jc w:val="center"/>
              <w:rPr>
                <w:rFonts w:hint="default" w:cs="Times New Roman"/>
                <w:sz w:val="21"/>
                <w:szCs w:val="21"/>
                <w:lang w:val="en-US" w:eastAsia="zh-CN"/>
              </w:rPr>
            </w:pPr>
            <w:r>
              <w:rPr>
                <w:rFonts w:hint="eastAsia" w:cs="Times New Roman"/>
                <w:sz w:val="21"/>
                <w:szCs w:val="21"/>
                <w:lang w:val="en-US" w:eastAsia="zh-CN"/>
              </w:rPr>
              <w:t>75</w:t>
            </w:r>
          </w:p>
        </w:tc>
        <w:tc>
          <w:tcPr>
            <w:tcW w:w="552" w:type="dxa"/>
            <w:vMerge w:val="continue"/>
            <w:tcBorders>
              <w:left w:val="single" w:color="auto" w:sz="4" w:space="0"/>
              <w:right w:val="single" w:color="auto" w:sz="6" w:space="0"/>
            </w:tcBorders>
            <w:vAlign w:val="center"/>
          </w:tcPr>
          <w:p w14:paraId="00F181E6">
            <w:pPr>
              <w:spacing w:line="240" w:lineRule="exact"/>
              <w:jc w:val="center"/>
              <w:rPr>
                <w:rFonts w:hint="default" w:ascii="Times New Roman" w:hAnsi="Times New Roman" w:cs="Times New Roman"/>
                <w:sz w:val="21"/>
                <w:szCs w:val="21"/>
                <w:lang w:val="en-US" w:eastAsia="zh-CN"/>
              </w:rPr>
            </w:pPr>
          </w:p>
        </w:tc>
        <w:tc>
          <w:tcPr>
            <w:tcW w:w="3496" w:type="dxa"/>
            <w:tcBorders>
              <w:top w:val="single" w:color="auto" w:sz="4" w:space="0"/>
              <w:left w:val="single" w:color="auto" w:sz="6" w:space="0"/>
              <w:bottom w:val="single" w:color="auto" w:sz="4" w:space="0"/>
              <w:right w:val="single" w:color="auto" w:sz="6" w:space="0"/>
            </w:tcBorders>
            <w:vAlign w:val="center"/>
          </w:tcPr>
          <w:p w14:paraId="696EB3B0">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控制温度物质运输车辆要求如下</w:t>
            </w:r>
            <w:r>
              <w:rPr>
                <w:rFonts w:hint="eastAsia" w:ascii="Times New Roman" w:cs="Times New Roman"/>
                <w:highlight w:val="none"/>
                <w:lang w:val="en-US" w:eastAsia="zh-CN"/>
              </w:rPr>
              <w:t>所</w:t>
            </w:r>
            <w:r>
              <w:rPr>
                <w:rFonts w:hint="eastAsia" w:ascii="Times New Roman" w:hAnsi="Times New Roman" w:eastAsia="宋体" w:cs="Times New Roman"/>
                <w:highlight w:val="none"/>
                <w:lang w:val="en-US" w:eastAsia="zh-CN"/>
              </w:rPr>
              <w:t>列</w:t>
            </w:r>
            <w:r>
              <w:rPr>
                <w:rFonts w:hint="eastAsia" w:ascii="Times New Roman" w:cs="Times New Roman"/>
                <w:highlight w:val="none"/>
                <w:lang w:val="en-US" w:eastAsia="zh-CN"/>
              </w:rPr>
              <w:t>。</w:t>
            </w:r>
          </w:p>
          <w:p w14:paraId="162D1643">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rPr>
            </w:pPr>
            <w:r>
              <w:rPr>
                <w:rFonts w:hint="default" w:ascii="Times New Roman" w:hAnsi="Times New Roman" w:eastAsia="宋体" w:cs="Times New Roman"/>
                <w:highlight w:val="none"/>
                <w:lang w:val="en-US" w:eastAsia="zh-CN"/>
              </w:rPr>
              <w:t>a）</w:t>
            </w:r>
            <w:r>
              <w:rPr>
                <w:rFonts w:hint="default" w:ascii="Times New Roman" w:hAnsi="Times New Roman" w:eastAsia="宋体" w:cs="Times New Roman"/>
                <w:highlight w:val="none"/>
              </w:rPr>
              <w:t>货厢应具有隔热能力，并采用适当的保温、冷冻和机械制冷措施，确保运输过程中货厢内温度不超过GB 12268中列明的物质所要求的控制温度范围。按GB 29753规定的隔热性能试验方法，货厢总传热系数应不超过0.4W/（m</w:t>
            </w:r>
            <w:r>
              <w:rPr>
                <w:rFonts w:hint="default" w:ascii="Times New Roman" w:hAnsi="Times New Roman" w:eastAsia="宋体" w:cs="Times New Roman"/>
                <w:highlight w:val="none"/>
                <w:vertAlign w:val="superscript"/>
              </w:rPr>
              <w:t>2</w:t>
            </w:r>
            <w:r>
              <w:rPr>
                <w:rFonts w:hint="default" w:ascii="Times New Roman" w:hAnsi="Times New Roman" w:eastAsia="宋体" w:cs="Times New Roman"/>
                <w:highlight w:val="none"/>
              </w:rPr>
              <w:t>·℃）。</w:t>
            </w:r>
          </w:p>
          <w:p w14:paraId="35F87E7F">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rPr>
            </w:pPr>
            <w:r>
              <w:rPr>
                <w:rFonts w:hint="eastAsia" w:ascii="Times New Roman" w:hAnsi="Times New Roman" w:eastAsia="宋体" w:cs="Times New Roman"/>
                <w:highlight w:val="none"/>
                <w:lang w:val="en-US" w:eastAsia="zh-CN"/>
              </w:rPr>
              <w:t>b</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rPr>
              <w:t>所运输介质的蒸汽及冷却剂不应渗入驾驶室内。</w:t>
            </w:r>
          </w:p>
          <w:p w14:paraId="085AE429">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rPr>
            </w:pPr>
            <w:r>
              <w:rPr>
                <w:rFonts w:hint="eastAsia" w:ascii="Times New Roman" w:hAnsi="Times New Roman" w:eastAsia="宋体" w:cs="Times New Roman"/>
                <w:highlight w:val="none"/>
                <w:lang w:val="en-US" w:eastAsia="zh-CN"/>
              </w:rPr>
              <w:t>c</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rPr>
              <w:t>驾驶室内应配备能够对货厢的总体温度进行控制的装置。</w:t>
            </w:r>
          </w:p>
          <w:p w14:paraId="731D1345">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rPr>
            </w:pPr>
            <w:r>
              <w:rPr>
                <w:rFonts w:hint="eastAsia" w:ascii="Times New Roman" w:hAnsi="Times New Roman" w:eastAsia="宋体" w:cs="Times New Roman"/>
                <w:highlight w:val="none"/>
                <w:lang w:val="en-US" w:eastAsia="zh-CN"/>
              </w:rPr>
              <w:t>d</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rPr>
              <w:t>货厢内设有通风装置的，该装置不应影响温度控制。</w:t>
            </w:r>
          </w:p>
          <w:p w14:paraId="79CA5B2F">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rPr>
            </w:pPr>
            <w:r>
              <w:rPr>
                <w:rFonts w:hint="eastAsia" w:ascii="Times New Roman" w:hAnsi="Times New Roman" w:eastAsia="宋体" w:cs="Times New Roman"/>
                <w:highlight w:val="none"/>
                <w:lang w:val="en-US" w:eastAsia="zh-CN"/>
              </w:rPr>
              <w:t>e</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rPr>
              <w:t>制冷剂应不易燃。</w:t>
            </w:r>
          </w:p>
          <w:p w14:paraId="0897BA2C">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cs="Times New Roman"/>
                <w:highlight w:val="yellow"/>
              </w:rPr>
            </w:pPr>
            <w:r>
              <w:rPr>
                <w:rFonts w:hint="eastAsia" w:ascii="Times New Roman" w:hAnsi="Times New Roman" w:eastAsia="宋体" w:cs="Times New Roman"/>
                <w:highlight w:val="none"/>
                <w:lang w:val="en-US" w:eastAsia="zh-CN"/>
              </w:rPr>
              <w:t>f</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rPr>
              <w:t>机械制冷车辆的制冷</w:t>
            </w:r>
            <w:r>
              <w:rPr>
                <w:rFonts w:hint="default" w:ascii="Times New Roman" w:hAnsi="Times New Roman" w:eastAsia="宋体" w:cs="Times New Roman"/>
                <w:highlight w:val="none"/>
                <w:lang w:val="en-US" w:eastAsia="zh-CN"/>
              </w:rPr>
              <w:t>器具应能不依赖车辆发动机而独立工作</w:t>
            </w:r>
            <w:r>
              <w:rPr>
                <w:rFonts w:hint="default" w:ascii="Times New Roman" w:hAnsi="Times New Roman" w:eastAsia="宋体" w:cs="Times New Roman"/>
                <w:highlight w:val="none"/>
              </w:rPr>
              <w:t>。</w:t>
            </w:r>
          </w:p>
        </w:tc>
        <w:tc>
          <w:tcPr>
            <w:tcW w:w="3224" w:type="dxa"/>
            <w:tcBorders>
              <w:top w:val="single" w:color="auto" w:sz="4" w:space="0"/>
              <w:left w:val="single" w:color="auto" w:sz="6" w:space="0"/>
              <w:bottom w:val="single" w:color="auto" w:sz="4" w:space="0"/>
              <w:right w:val="single" w:color="auto" w:sz="6" w:space="0"/>
            </w:tcBorders>
            <w:shd w:val="clear" w:color="auto" w:fill="auto"/>
            <w:vAlign w:val="center"/>
          </w:tcPr>
          <w:p w14:paraId="03F496B8">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eastAsia="宋体" w:cs="Times New Roman"/>
                <w:sz w:val="21"/>
                <w:szCs w:val="21"/>
                <w:u w:val="none"/>
                <w:lang w:val="en-US" w:eastAsia="zh-CN" w:bidi="ar-SA"/>
              </w:rPr>
            </w:pPr>
          </w:p>
        </w:tc>
        <w:tc>
          <w:tcPr>
            <w:tcW w:w="709" w:type="dxa"/>
            <w:tcBorders>
              <w:top w:val="single" w:color="auto" w:sz="4" w:space="0"/>
              <w:left w:val="single" w:color="auto" w:sz="6" w:space="0"/>
              <w:bottom w:val="single" w:color="auto" w:sz="4" w:space="0"/>
              <w:right w:val="single" w:color="auto" w:sz="4" w:space="0"/>
            </w:tcBorders>
            <w:vAlign w:val="center"/>
          </w:tcPr>
          <w:p w14:paraId="465A3C13">
            <w:pPr>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4FEB8E69">
            <w:pPr>
              <w:spacing w:line="240" w:lineRule="exact"/>
              <w:jc w:val="center"/>
              <w:rPr>
                <w:rFonts w:hint="default" w:ascii="Times New Roman" w:hAnsi="Times New Roman" w:cs="Times New Roman"/>
                <w:sz w:val="21"/>
                <w:szCs w:val="21"/>
              </w:rPr>
            </w:pPr>
          </w:p>
        </w:tc>
      </w:tr>
    </w:tbl>
    <w:p w14:paraId="37058142">
      <w:pPr>
        <w:rPr>
          <w:rFonts w:hint="default"/>
        </w:rPr>
      </w:pPr>
      <w:r>
        <w:rPr>
          <w:rFonts w:hint="default"/>
        </w:rPr>
        <w:br w:type="page"/>
      </w:r>
    </w:p>
    <w:p w14:paraId="182080BB">
      <w:pPr>
        <w:spacing w:line="360" w:lineRule="auto"/>
        <w:rPr>
          <w:rFonts w:hint="default"/>
        </w:rPr>
      </w:pPr>
      <w:r>
        <w:rPr>
          <w:rFonts w:hint="default" w:ascii="Times New Roman" w:hAnsi="Times New Roman" w:cs="Times New Roman"/>
          <w:kern w:val="2"/>
          <w:sz w:val="21"/>
        </w:rPr>
        <w:t>检验结果（续表）</w:t>
      </w:r>
    </w:p>
    <w:tbl>
      <w:tblPr>
        <w:tblStyle w:val="10"/>
        <w:tblW w:w="9035"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45"/>
        <w:gridCol w:w="528"/>
        <w:gridCol w:w="3520"/>
        <w:gridCol w:w="3224"/>
        <w:gridCol w:w="709"/>
        <w:gridCol w:w="709"/>
      </w:tblGrid>
      <w:tr w14:paraId="0228A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5" w:hRule="atLeast"/>
        </w:trPr>
        <w:tc>
          <w:tcPr>
            <w:tcW w:w="345" w:type="dxa"/>
            <w:tcBorders>
              <w:top w:val="single" w:color="auto" w:sz="4" w:space="0"/>
              <w:left w:val="single" w:color="auto" w:sz="4" w:space="0"/>
              <w:bottom w:val="single" w:color="auto" w:sz="6" w:space="0"/>
              <w:right w:val="single" w:color="auto" w:sz="4" w:space="0"/>
            </w:tcBorders>
            <w:vAlign w:val="center"/>
          </w:tcPr>
          <w:p w14:paraId="6A942475">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528" w:type="dxa"/>
            <w:tcBorders>
              <w:top w:val="single" w:color="auto" w:sz="4" w:space="0"/>
              <w:left w:val="single" w:color="auto" w:sz="4" w:space="0"/>
              <w:bottom w:val="single" w:color="auto" w:sz="6" w:space="0"/>
              <w:right w:val="single" w:color="auto" w:sz="6" w:space="0"/>
            </w:tcBorders>
            <w:vAlign w:val="center"/>
          </w:tcPr>
          <w:p w14:paraId="06553141">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检验项目</w:t>
            </w:r>
          </w:p>
        </w:tc>
        <w:tc>
          <w:tcPr>
            <w:tcW w:w="3520" w:type="dxa"/>
            <w:tcBorders>
              <w:top w:val="single" w:color="auto" w:sz="4" w:space="0"/>
              <w:left w:val="single" w:color="auto" w:sz="6" w:space="0"/>
              <w:bottom w:val="single" w:color="auto" w:sz="6" w:space="0"/>
              <w:right w:val="single" w:color="auto" w:sz="6" w:space="0"/>
            </w:tcBorders>
            <w:vAlign w:val="center"/>
          </w:tcPr>
          <w:p w14:paraId="2E7FF538">
            <w:pPr>
              <w:keepNext w:val="0"/>
              <w:keepLines w:val="0"/>
              <w:pageBreakBefore w:val="0"/>
              <w:widowControl/>
              <w:kinsoku/>
              <w:wordWrap/>
              <w:overflowPunct/>
              <w:topLinePunct w:val="0"/>
              <w:autoSpaceDE/>
              <w:autoSpaceDN/>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标  准  要  求</w:t>
            </w:r>
          </w:p>
        </w:tc>
        <w:tc>
          <w:tcPr>
            <w:tcW w:w="3224" w:type="dxa"/>
            <w:tcBorders>
              <w:top w:val="single" w:color="auto" w:sz="4" w:space="0"/>
              <w:left w:val="single" w:color="auto" w:sz="6" w:space="0"/>
              <w:bottom w:val="single" w:color="auto" w:sz="6" w:space="0"/>
              <w:right w:val="single" w:color="auto" w:sz="6" w:space="0"/>
            </w:tcBorders>
            <w:vAlign w:val="center"/>
          </w:tcPr>
          <w:p w14:paraId="0BCD66BF">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检  验  结  果</w:t>
            </w:r>
          </w:p>
        </w:tc>
        <w:tc>
          <w:tcPr>
            <w:tcW w:w="709" w:type="dxa"/>
            <w:tcBorders>
              <w:top w:val="single" w:color="auto" w:sz="4" w:space="0"/>
              <w:left w:val="single" w:color="auto" w:sz="6" w:space="0"/>
              <w:bottom w:val="single" w:color="auto" w:sz="6" w:space="0"/>
              <w:right w:val="single" w:color="auto" w:sz="4" w:space="0"/>
            </w:tcBorders>
            <w:vAlign w:val="center"/>
          </w:tcPr>
          <w:p w14:paraId="34211755">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符合性判定</w:t>
            </w:r>
          </w:p>
        </w:tc>
        <w:tc>
          <w:tcPr>
            <w:tcW w:w="709" w:type="dxa"/>
            <w:tcBorders>
              <w:top w:val="single" w:color="auto" w:sz="4" w:space="0"/>
              <w:left w:val="single" w:color="auto" w:sz="6" w:space="0"/>
              <w:bottom w:val="single" w:color="auto" w:sz="6" w:space="0"/>
              <w:right w:val="single" w:color="auto" w:sz="4" w:space="0"/>
            </w:tcBorders>
            <w:vAlign w:val="center"/>
          </w:tcPr>
          <w:p w14:paraId="36697206">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r>
              <w:rPr>
                <w:rFonts w:ascii="宋体" w:hAnsi="宋体" w:cs="Arial"/>
                <w:color w:val="000000"/>
              </w:rPr>
              <w:t>备注</w:t>
            </w:r>
          </w:p>
        </w:tc>
      </w:tr>
      <w:tr w14:paraId="695D6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60" w:hRule="atLeast"/>
        </w:trPr>
        <w:tc>
          <w:tcPr>
            <w:tcW w:w="345" w:type="dxa"/>
            <w:tcBorders>
              <w:left w:val="single" w:color="auto" w:sz="4" w:space="0"/>
              <w:bottom w:val="single" w:color="auto" w:sz="4" w:space="0"/>
              <w:right w:val="single" w:color="auto" w:sz="4" w:space="0"/>
            </w:tcBorders>
            <w:vAlign w:val="center"/>
          </w:tcPr>
          <w:p w14:paraId="463CF9C8">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76</w:t>
            </w:r>
          </w:p>
        </w:tc>
        <w:tc>
          <w:tcPr>
            <w:tcW w:w="528" w:type="dxa"/>
            <w:vMerge w:val="restart"/>
            <w:tcBorders>
              <w:left w:val="single" w:color="auto" w:sz="4" w:space="0"/>
              <w:right w:val="single" w:color="auto" w:sz="6" w:space="0"/>
            </w:tcBorders>
            <w:vAlign w:val="center"/>
          </w:tcPr>
          <w:p w14:paraId="036CB996">
            <w:pPr>
              <w:pStyle w:val="27"/>
              <w:keepNext w:val="0"/>
              <w:keepLines w:val="0"/>
              <w:pageBreakBefore w:val="0"/>
              <w:numPr>
                <w:ilvl w:val="2"/>
                <w:numId w:val="0"/>
              </w:numPr>
              <w:kinsoku/>
              <w:wordWrap/>
              <w:overflowPunct/>
              <w:topLinePunct w:val="0"/>
              <w:autoSpaceDE/>
              <w:autoSpaceDN/>
              <w:bidi w:val="0"/>
              <w:snapToGrid/>
              <w:spacing w:before="156" w:after="156" w:line="240" w:lineRule="exact"/>
              <w:ind w:leftChars="0"/>
              <w:rPr>
                <w:rFonts w:hint="default" w:ascii="Times New Roman" w:hAnsi="Times New Roman" w:cs="Times New Roman"/>
                <w:sz w:val="21"/>
                <w:szCs w:val="21"/>
                <w:lang w:val="en-US" w:eastAsia="zh-CN"/>
              </w:rPr>
            </w:pPr>
            <w:bookmarkStart w:id="7" w:name="_Toc163734684"/>
            <w:bookmarkStart w:id="8" w:name="_Toc157084615"/>
            <w:r>
              <w:rPr>
                <w:rFonts w:hint="default" w:ascii="Times New Roman" w:hAnsi="Times New Roman" w:eastAsia="宋体" w:cs="Times New Roman"/>
                <w:sz w:val="21"/>
                <w:szCs w:val="21"/>
                <w:lang w:val="en-US" w:eastAsia="zh-CN" w:bidi="ar-SA"/>
              </w:rPr>
              <w:t>用于危险货物运输的纯电动汽车的要求</w:t>
            </w:r>
            <w:bookmarkEnd w:id="7"/>
            <w:bookmarkEnd w:id="8"/>
          </w:p>
        </w:tc>
        <w:tc>
          <w:tcPr>
            <w:tcW w:w="3520" w:type="dxa"/>
            <w:tcBorders>
              <w:top w:val="single" w:color="auto" w:sz="4" w:space="0"/>
              <w:left w:val="single" w:color="auto" w:sz="6" w:space="0"/>
              <w:bottom w:val="single" w:color="auto" w:sz="4" w:space="0"/>
              <w:right w:val="single" w:color="auto" w:sz="6" w:space="0"/>
            </w:tcBorders>
            <w:vAlign w:val="center"/>
          </w:tcPr>
          <w:p w14:paraId="0D327823">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仅在运输GB 6944</w:t>
            </w:r>
            <w:r>
              <w:rPr>
                <w:rFonts w:hint="eastAsia" w:ascii="Times New Roman" w:cs="Times New Roman"/>
                <w:highlight w:val="none"/>
                <w:lang w:val="en-US" w:eastAsia="zh-CN"/>
              </w:rPr>
              <w:t>-2025中</w:t>
            </w:r>
            <w:r>
              <w:rPr>
                <w:rFonts w:hint="default" w:ascii="Times New Roman" w:hAnsi="Times New Roman" w:cs="Times New Roman"/>
                <w:highlight w:val="none"/>
              </w:rPr>
              <w:t>第2.2项</w:t>
            </w:r>
            <w:r>
              <w:rPr>
                <w:rFonts w:hint="eastAsia" w:ascii="Times New Roman" w:cs="Times New Roman"/>
                <w:highlight w:val="none"/>
                <w:lang w:val="en-US" w:eastAsia="zh-CN"/>
              </w:rPr>
              <w:t>非易燃无毒气体</w:t>
            </w:r>
            <w:r>
              <w:rPr>
                <w:rFonts w:hint="default" w:ascii="Times New Roman" w:hAnsi="Times New Roman" w:cs="Times New Roman"/>
                <w:highlight w:val="none"/>
              </w:rPr>
              <w:t>和第9类危险</w:t>
            </w:r>
            <w:r>
              <w:rPr>
                <w:rFonts w:hint="eastAsia" w:ascii="Times New Roman" w:cs="Times New Roman"/>
                <w:highlight w:val="none"/>
                <w:lang w:val="en-US" w:eastAsia="zh-CN"/>
              </w:rPr>
              <w:t>物质和物品</w:t>
            </w:r>
            <w:r>
              <w:rPr>
                <w:rFonts w:hint="default" w:ascii="Times New Roman" w:hAnsi="Times New Roman" w:cs="Times New Roman"/>
                <w:highlight w:val="none"/>
              </w:rPr>
              <w:t>时，</w:t>
            </w:r>
            <w:r>
              <w:rPr>
                <w:rFonts w:hint="eastAsia" w:ascii="Times New Roman" w:cs="Times New Roman"/>
                <w:highlight w:val="none"/>
                <w:lang w:val="en-US" w:eastAsia="zh-CN"/>
              </w:rPr>
              <w:t>准许</w:t>
            </w:r>
            <w:r>
              <w:rPr>
                <w:rFonts w:hint="default" w:ascii="Times New Roman" w:hAnsi="Times New Roman" w:cs="Times New Roman"/>
                <w:highlight w:val="none"/>
              </w:rPr>
              <w:t>使用纯电动汽车</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29911CD2">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eastAsia="宋体"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0FB7B8E7">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30FCC44C">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r>
      <w:tr w14:paraId="36F2D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7" w:hRule="atLeast"/>
        </w:trPr>
        <w:tc>
          <w:tcPr>
            <w:tcW w:w="345" w:type="dxa"/>
            <w:tcBorders>
              <w:top w:val="single" w:color="auto" w:sz="4" w:space="0"/>
              <w:left w:val="single" w:color="auto" w:sz="4" w:space="0"/>
              <w:bottom w:val="single" w:color="auto" w:sz="4" w:space="0"/>
              <w:right w:val="single" w:color="auto" w:sz="4" w:space="0"/>
            </w:tcBorders>
            <w:vAlign w:val="center"/>
          </w:tcPr>
          <w:p w14:paraId="323110A0">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77</w:t>
            </w:r>
          </w:p>
        </w:tc>
        <w:tc>
          <w:tcPr>
            <w:tcW w:w="528" w:type="dxa"/>
            <w:vMerge w:val="continue"/>
            <w:tcBorders>
              <w:left w:val="single" w:color="auto" w:sz="4" w:space="0"/>
              <w:right w:val="single" w:color="auto" w:sz="6" w:space="0"/>
            </w:tcBorders>
            <w:vAlign w:val="center"/>
          </w:tcPr>
          <w:p w14:paraId="00233BF2">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600F364F">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eastAsia="zh-CN"/>
              </w:rPr>
            </w:pPr>
            <w:r>
              <w:rPr>
                <w:rFonts w:hint="default" w:ascii="Times New Roman" w:hAnsi="Times New Roman" w:cs="Times New Roman"/>
                <w:highlight w:val="none"/>
              </w:rPr>
              <w:t>用于危险货物运输的纯电动汽车应在驾驶室易见位置标示车辆</w:t>
            </w:r>
            <w:r>
              <w:rPr>
                <w:rFonts w:hint="eastAsia" w:ascii="Times New Roman" w:cs="Times New Roman"/>
                <w:highlight w:val="none"/>
                <w:lang w:val="en-US" w:eastAsia="zh-CN"/>
              </w:rPr>
              <w:t>准许</w:t>
            </w:r>
            <w:r>
              <w:rPr>
                <w:rFonts w:hint="default" w:ascii="Times New Roman" w:hAnsi="Times New Roman" w:cs="Times New Roman"/>
                <w:highlight w:val="none"/>
              </w:rPr>
              <w:t>运输的危险货物的类项号</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12B08302">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cs="Times New Roman"/>
              </w:rPr>
            </w:pPr>
          </w:p>
        </w:tc>
        <w:tc>
          <w:tcPr>
            <w:tcW w:w="709" w:type="dxa"/>
            <w:tcBorders>
              <w:top w:val="single" w:color="auto" w:sz="4" w:space="0"/>
              <w:left w:val="single" w:color="auto" w:sz="6" w:space="0"/>
              <w:bottom w:val="single" w:color="auto" w:sz="4" w:space="0"/>
              <w:right w:val="single" w:color="auto" w:sz="4" w:space="0"/>
            </w:tcBorders>
            <w:vAlign w:val="center"/>
          </w:tcPr>
          <w:p w14:paraId="29FFFDF2">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B6A6D08">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r>
      <w:tr w14:paraId="68FA11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6" w:hRule="atLeast"/>
        </w:trPr>
        <w:tc>
          <w:tcPr>
            <w:tcW w:w="345" w:type="dxa"/>
            <w:tcBorders>
              <w:top w:val="single" w:color="auto" w:sz="4" w:space="0"/>
              <w:left w:val="single" w:color="auto" w:sz="4" w:space="0"/>
              <w:bottom w:val="single" w:color="auto" w:sz="4" w:space="0"/>
              <w:right w:val="single" w:color="auto" w:sz="4" w:space="0"/>
            </w:tcBorders>
            <w:vAlign w:val="center"/>
          </w:tcPr>
          <w:p w14:paraId="161E0533">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78</w:t>
            </w:r>
          </w:p>
        </w:tc>
        <w:tc>
          <w:tcPr>
            <w:tcW w:w="528" w:type="dxa"/>
            <w:vMerge w:val="continue"/>
            <w:tcBorders>
              <w:left w:val="single" w:color="auto" w:sz="4" w:space="0"/>
              <w:right w:val="single" w:color="auto" w:sz="6" w:space="0"/>
            </w:tcBorders>
            <w:vAlign w:val="center"/>
          </w:tcPr>
          <w:p w14:paraId="792026D0">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308ED805">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eastAsia="zh-CN"/>
              </w:rPr>
            </w:pPr>
            <w:r>
              <w:rPr>
                <w:rFonts w:hint="default" w:ascii="Times New Roman" w:hAnsi="Times New Roman" w:cs="Times New Roman"/>
                <w:highlight w:val="none"/>
              </w:rPr>
              <w:t>车辆的动力蓄电池系统最小管理单元热失控要求应满足GB 38032</w:t>
            </w:r>
            <w:r>
              <w:rPr>
                <w:rFonts w:hint="eastAsia" w:ascii="Times New Roman" w:cs="Times New Roman"/>
                <w:highlight w:val="none"/>
                <w:lang w:val="en-US" w:eastAsia="zh-CN"/>
              </w:rPr>
              <w:t>-2020</w:t>
            </w:r>
            <w:r>
              <w:rPr>
                <w:rFonts w:hint="default" w:ascii="Times New Roman" w:hAnsi="Times New Roman" w:cs="Times New Roman"/>
                <w:highlight w:val="none"/>
              </w:rPr>
              <w:t>的要求</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0FFAD9FB">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cs="Times New Roman"/>
              </w:rPr>
            </w:pPr>
          </w:p>
        </w:tc>
        <w:tc>
          <w:tcPr>
            <w:tcW w:w="709" w:type="dxa"/>
            <w:tcBorders>
              <w:top w:val="single" w:color="auto" w:sz="4" w:space="0"/>
              <w:left w:val="single" w:color="auto" w:sz="6" w:space="0"/>
              <w:bottom w:val="single" w:color="auto" w:sz="4" w:space="0"/>
              <w:right w:val="single" w:color="auto" w:sz="4" w:space="0"/>
            </w:tcBorders>
            <w:vAlign w:val="center"/>
          </w:tcPr>
          <w:p w14:paraId="799504C6">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32DA89A8">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r>
      <w:tr w14:paraId="6197B5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782" w:hRule="atLeast"/>
        </w:trPr>
        <w:tc>
          <w:tcPr>
            <w:tcW w:w="345" w:type="dxa"/>
            <w:tcBorders>
              <w:top w:val="single" w:color="auto" w:sz="4" w:space="0"/>
              <w:left w:val="single" w:color="auto" w:sz="4" w:space="0"/>
              <w:bottom w:val="single" w:color="auto" w:sz="4" w:space="0"/>
              <w:right w:val="single" w:color="auto" w:sz="4" w:space="0"/>
            </w:tcBorders>
            <w:vAlign w:val="center"/>
          </w:tcPr>
          <w:p w14:paraId="6BE58856">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79</w:t>
            </w:r>
          </w:p>
        </w:tc>
        <w:tc>
          <w:tcPr>
            <w:tcW w:w="528" w:type="dxa"/>
            <w:vMerge w:val="continue"/>
            <w:tcBorders>
              <w:left w:val="single" w:color="auto" w:sz="4" w:space="0"/>
              <w:right w:val="single" w:color="auto" w:sz="6" w:space="0"/>
            </w:tcBorders>
            <w:vAlign w:val="center"/>
          </w:tcPr>
          <w:p w14:paraId="209417FF">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28C35203">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eastAsia="zh-CN"/>
              </w:rPr>
            </w:pPr>
            <w:r>
              <w:rPr>
                <w:rFonts w:hint="default" w:ascii="Times New Roman" w:hAnsi="Times New Roman" w:cs="Times New Roman"/>
                <w:highlight w:val="none"/>
              </w:rPr>
              <w:t>车辆的动力蓄电池系统安装箱体与载货装置之间应使用阻燃隔热材料。按GB 38032</w:t>
            </w:r>
            <w:r>
              <w:rPr>
                <w:rFonts w:hint="default" w:ascii="Times New Roman" w:hAnsi="Times New Roman" w:cs="Times New Roman"/>
                <w:highlight w:val="none"/>
                <w:lang w:eastAsia="zh-CN"/>
              </w:rPr>
              <w:t>—</w:t>
            </w:r>
            <w:r>
              <w:rPr>
                <w:rFonts w:hint="default" w:ascii="Times New Roman" w:hAnsi="Times New Roman" w:cs="Times New Roman"/>
                <w:highlight w:val="none"/>
              </w:rPr>
              <w:t>2020</w:t>
            </w:r>
            <w:r>
              <w:rPr>
                <w:rFonts w:hint="default" w:ascii="Times New Roman" w:hAnsi="Times New Roman" w:cs="Times New Roman"/>
                <w:highlight w:val="none"/>
                <w:lang w:val="en-US" w:eastAsia="zh-CN"/>
              </w:rPr>
              <w:t>中</w:t>
            </w:r>
            <w:r>
              <w:rPr>
                <w:rFonts w:hint="default" w:ascii="Times New Roman" w:hAnsi="Times New Roman" w:cs="Times New Roman"/>
                <w:highlight w:val="none"/>
              </w:rPr>
              <w:t>5.2.2规定的方法进行阻燃隔热性能试验，阻燃隔热材料的燃烧特性应符合GB 8624</w:t>
            </w:r>
            <w:r>
              <w:rPr>
                <w:rFonts w:hint="eastAsia" w:ascii="Times New Roman" w:cs="Times New Roman"/>
                <w:highlight w:val="none"/>
                <w:lang w:val="en-US" w:eastAsia="zh-CN"/>
              </w:rPr>
              <w:t>-2012</w:t>
            </w:r>
            <w:r>
              <w:rPr>
                <w:rFonts w:hint="default" w:ascii="Times New Roman" w:hAnsi="Times New Roman" w:cs="Times New Roman"/>
                <w:highlight w:val="none"/>
              </w:rPr>
              <w:t>中规定的A级要求，并且在300℃时导热系数应不大于0.04 W/（m·K）</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03ABB6D6">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cs="Times New Roman"/>
              </w:rPr>
            </w:pPr>
          </w:p>
        </w:tc>
        <w:tc>
          <w:tcPr>
            <w:tcW w:w="709" w:type="dxa"/>
            <w:tcBorders>
              <w:top w:val="single" w:color="auto" w:sz="4" w:space="0"/>
              <w:left w:val="single" w:color="auto" w:sz="6" w:space="0"/>
              <w:bottom w:val="single" w:color="auto" w:sz="4" w:space="0"/>
              <w:right w:val="single" w:color="auto" w:sz="4" w:space="0"/>
            </w:tcBorders>
            <w:vAlign w:val="center"/>
          </w:tcPr>
          <w:p w14:paraId="7B5D9654">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A6CD823">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r>
      <w:tr w14:paraId="1F3B6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79" w:hRule="atLeast"/>
        </w:trPr>
        <w:tc>
          <w:tcPr>
            <w:tcW w:w="345" w:type="dxa"/>
            <w:tcBorders>
              <w:top w:val="single" w:color="auto" w:sz="4" w:space="0"/>
              <w:left w:val="single" w:color="auto" w:sz="4" w:space="0"/>
              <w:bottom w:val="single" w:color="auto" w:sz="4" w:space="0"/>
              <w:right w:val="single" w:color="auto" w:sz="4" w:space="0"/>
            </w:tcBorders>
            <w:vAlign w:val="center"/>
          </w:tcPr>
          <w:p w14:paraId="2BBFC223">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80</w:t>
            </w:r>
          </w:p>
        </w:tc>
        <w:tc>
          <w:tcPr>
            <w:tcW w:w="528" w:type="dxa"/>
            <w:vMerge w:val="continue"/>
            <w:tcBorders>
              <w:left w:val="single" w:color="auto" w:sz="4" w:space="0"/>
              <w:right w:val="single" w:color="auto" w:sz="6" w:space="0"/>
            </w:tcBorders>
            <w:vAlign w:val="center"/>
          </w:tcPr>
          <w:p w14:paraId="183F89A8">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4C3314F4">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eastAsia="zh-CN"/>
              </w:rPr>
            </w:pPr>
            <w:r>
              <w:rPr>
                <w:rFonts w:hint="default" w:ascii="Times New Roman" w:hAnsi="Times New Roman" w:cs="Times New Roman"/>
                <w:highlight w:val="none"/>
              </w:rPr>
              <w:t>与车辆动力蓄电池系统相邻的载货装置表面温度应小于80℃</w:t>
            </w:r>
            <w:r>
              <w:rPr>
                <w:rFonts w:hint="default" w:ascii="Times New Roman" w:hAnsi="Times New Roman" w:cs="Times New Roman"/>
                <w:highlight w:val="none"/>
                <w:lang w:eastAsia="zh-CN"/>
              </w:rPr>
              <w:t>。</w:t>
            </w:r>
          </w:p>
        </w:tc>
        <w:tc>
          <w:tcPr>
            <w:tcW w:w="3224" w:type="dxa"/>
            <w:tcBorders>
              <w:top w:val="single" w:color="auto" w:sz="4" w:space="0"/>
              <w:left w:val="single" w:color="auto" w:sz="6" w:space="0"/>
              <w:bottom w:val="single" w:color="auto" w:sz="4" w:space="0"/>
              <w:right w:val="single" w:color="auto" w:sz="6" w:space="0"/>
            </w:tcBorders>
            <w:vAlign w:val="center"/>
          </w:tcPr>
          <w:p w14:paraId="7895CDA0">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0" w:leftChars="0" w:firstLine="0" w:firstLineChars="0"/>
              <w:textAlignment w:val="auto"/>
              <w:rPr>
                <w:rFonts w:hint="default" w:ascii="Times New Roman" w:hAnsi="Times New Roman" w:cs="Times New Roman"/>
              </w:rPr>
            </w:pPr>
          </w:p>
        </w:tc>
        <w:tc>
          <w:tcPr>
            <w:tcW w:w="709" w:type="dxa"/>
            <w:tcBorders>
              <w:top w:val="single" w:color="auto" w:sz="4" w:space="0"/>
              <w:left w:val="single" w:color="auto" w:sz="6" w:space="0"/>
              <w:bottom w:val="single" w:color="auto" w:sz="4" w:space="0"/>
              <w:right w:val="single" w:color="auto" w:sz="4" w:space="0"/>
            </w:tcBorders>
            <w:vAlign w:val="center"/>
          </w:tcPr>
          <w:p w14:paraId="6DA8BBBD">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1F9119BD">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r>
      <w:tr w14:paraId="5EA264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835" w:hRule="atLeast"/>
        </w:trPr>
        <w:tc>
          <w:tcPr>
            <w:tcW w:w="345" w:type="dxa"/>
            <w:tcBorders>
              <w:top w:val="single" w:color="auto" w:sz="4" w:space="0"/>
              <w:left w:val="single" w:color="auto" w:sz="4" w:space="0"/>
              <w:bottom w:val="single" w:color="auto" w:sz="4" w:space="0"/>
              <w:right w:val="single" w:color="auto" w:sz="4" w:space="0"/>
            </w:tcBorders>
            <w:vAlign w:val="center"/>
          </w:tcPr>
          <w:p w14:paraId="3DE33F02">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81</w:t>
            </w:r>
          </w:p>
        </w:tc>
        <w:tc>
          <w:tcPr>
            <w:tcW w:w="528" w:type="dxa"/>
            <w:vMerge w:val="continue"/>
            <w:tcBorders>
              <w:left w:val="single" w:color="auto" w:sz="4" w:space="0"/>
              <w:right w:val="single" w:color="auto" w:sz="6" w:space="0"/>
            </w:tcBorders>
            <w:vAlign w:val="center"/>
          </w:tcPr>
          <w:p w14:paraId="68768CD5">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lang w:val="en-US" w:eastAsia="zh-CN"/>
              </w:rPr>
            </w:pPr>
          </w:p>
        </w:tc>
        <w:tc>
          <w:tcPr>
            <w:tcW w:w="3520" w:type="dxa"/>
            <w:tcBorders>
              <w:top w:val="single" w:color="auto" w:sz="4" w:space="0"/>
              <w:left w:val="single" w:color="auto" w:sz="6" w:space="0"/>
              <w:bottom w:val="single" w:color="auto" w:sz="4" w:space="0"/>
              <w:right w:val="single" w:color="auto" w:sz="6" w:space="0"/>
            </w:tcBorders>
            <w:vAlign w:val="center"/>
          </w:tcPr>
          <w:p w14:paraId="1AD15B30">
            <w:pPr>
              <w:pStyle w:val="19"/>
              <w:keepNext w:val="0"/>
              <w:keepLines w:val="0"/>
              <w:pageBreakBefore w:val="0"/>
              <w:numPr>
                <w:ilvl w:val="3"/>
                <w:numId w:val="0"/>
              </w:numPr>
              <w:kinsoku/>
              <w:wordWrap/>
              <w:overflowPunct/>
              <w:topLinePunct w:val="0"/>
              <w:autoSpaceDE/>
              <w:autoSpaceDN/>
              <w:bidi w:val="0"/>
              <w:snapToGrid/>
              <w:spacing w:line="240" w:lineRule="exact"/>
              <w:ind w:leftChars="0"/>
              <w:rPr>
                <w:rFonts w:hint="default" w:ascii="Times New Roman" w:hAnsi="Times New Roman" w:cs="Times New Roman"/>
                <w:highlight w:val="none"/>
              </w:rPr>
            </w:pPr>
            <w:r>
              <w:rPr>
                <w:rFonts w:hint="default" w:ascii="Times New Roman" w:hAnsi="Times New Roman" w:cs="Times New Roman"/>
                <w:highlight w:val="none"/>
              </w:rPr>
              <w:t>载货装置为封闭式货厢时，应满足以下要求：</w:t>
            </w:r>
            <w:bookmarkStart w:id="9" w:name="OLE_LINK4"/>
          </w:p>
          <w:bookmarkEnd w:id="9"/>
          <w:p w14:paraId="28303B7E">
            <w:pPr>
              <w:pStyle w:val="21"/>
              <w:keepNext w:val="0"/>
              <w:keepLines w:val="0"/>
              <w:pageBreakBefore w:val="0"/>
              <w:numPr>
                <w:ilvl w:val="0"/>
                <w:numId w:val="0"/>
              </w:numPr>
              <w:kinsoku/>
              <w:wordWrap/>
              <w:overflowPunct/>
              <w:topLinePunct w:val="0"/>
              <w:autoSpaceDE/>
              <w:autoSpaceDN/>
              <w:bidi w:val="0"/>
              <w:snapToGrid/>
              <w:spacing w:line="240" w:lineRule="exact"/>
              <w:rPr>
                <w:rFonts w:hint="default" w:ascii="Times New Roman" w:hAnsi="Times New Roman" w:cs="Times New Roman"/>
                <w:highlight w:val="none"/>
              </w:rPr>
            </w:pPr>
            <w:r>
              <w:rPr>
                <w:rFonts w:hint="default" w:ascii="Times New Roman" w:hAnsi="Times New Roman" w:cs="Times New Roman"/>
                <w:highlight w:val="none"/>
                <w:lang w:val="en-US" w:eastAsia="zh-CN"/>
              </w:rPr>
              <w:t>a）</w:t>
            </w:r>
            <w:r>
              <w:rPr>
                <w:rFonts w:hint="default" w:ascii="Times New Roman" w:hAnsi="Times New Roman" w:cs="Times New Roman"/>
                <w:highlight w:val="none"/>
              </w:rPr>
              <w:t>应安装烟火报警系统，感烟火灾探测器应设在货厢内，报警蜂鸣器应设在驾驶室内，且感烟火灾探测器应符合GB 4715的规定；报警系统不应受电源总开关的控制，报警音响声级应大于或等于100dB（A）。</w:t>
            </w:r>
          </w:p>
          <w:p w14:paraId="765A8FC0">
            <w:pPr>
              <w:pStyle w:val="19"/>
              <w:keepNext w:val="0"/>
              <w:keepLines w:val="0"/>
              <w:pageBreakBefore w:val="0"/>
              <w:widowControl w:val="0"/>
              <w:numPr>
                <w:ilvl w:val="3"/>
                <w:numId w:val="0"/>
              </w:numPr>
              <w:kinsoku/>
              <w:wordWrap/>
              <w:overflowPunct/>
              <w:topLinePunct w:val="0"/>
              <w:autoSpaceDE/>
              <w:autoSpaceDN/>
              <w:bidi w:val="0"/>
              <w:adjustRightInd/>
              <w:snapToGrid/>
              <w:spacing w:line="240" w:lineRule="exact"/>
              <w:ind w:leftChars="0"/>
              <w:textAlignment w:val="auto"/>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b）</w:t>
            </w:r>
            <w:r>
              <w:rPr>
                <w:rFonts w:hint="default" w:ascii="Times New Roman" w:hAnsi="Times New Roman" w:cs="Times New Roman"/>
                <w:highlight w:val="none"/>
              </w:rPr>
              <w:t>具有货厢内温度控制功能的车辆，按GB 29753规定的隔热性能试验方法，货厢总传热系数应不超过0.4W/（m</w:t>
            </w:r>
            <w:r>
              <w:rPr>
                <w:rFonts w:hint="default" w:ascii="Times New Roman" w:hAnsi="Times New Roman" w:cs="Times New Roman"/>
                <w:highlight w:val="none"/>
                <w:vertAlign w:val="superscript"/>
              </w:rPr>
              <w:t>2</w:t>
            </w:r>
            <w:r>
              <w:rPr>
                <w:rFonts w:hint="default" w:ascii="Times New Roman" w:hAnsi="Times New Roman" w:cs="Times New Roman"/>
                <w:highlight w:val="none"/>
              </w:rPr>
              <w:t>·℃）。货厢内温度控制系统应与驾驶室空调系统相互独立，应能够不依赖车辆动力系统而独立工作至少1h。</w:t>
            </w:r>
          </w:p>
        </w:tc>
        <w:tc>
          <w:tcPr>
            <w:tcW w:w="3224" w:type="dxa"/>
            <w:tcBorders>
              <w:top w:val="single" w:color="auto" w:sz="4" w:space="0"/>
              <w:left w:val="single" w:color="auto" w:sz="6" w:space="0"/>
              <w:bottom w:val="single" w:color="auto" w:sz="4" w:space="0"/>
              <w:right w:val="single" w:color="auto" w:sz="6" w:space="0"/>
            </w:tcBorders>
            <w:vAlign w:val="center"/>
          </w:tcPr>
          <w:p w14:paraId="0C515FD6">
            <w:pPr>
              <w:pStyle w:val="21"/>
              <w:keepNext w:val="0"/>
              <w:keepLines w:val="0"/>
              <w:pageBreakBefore w:val="0"/>
              <w:numPr>
                <w:ilvl w:val="0"/>
                <w:numId w:val="0"/>
              </w:numPr>
              <w:kinsoku/>
              <w:wordWrap/>
              <w:overflowPunct/>
              <w:topLinePunct w:val="0"/>
              <w:autoSpaceDE/>
              <w:autoSpaceDN/>
              <w:bidi w:val="0"/>
              <w:snapToGrid/>
              <w:spacing w:line="240" w:lineRule="exact"/>
              <w:ind w:left="0" w:leftChars="0" w:firstLine="0" w:firstLineChars="0"/>
              <w:rPr>
                <w:rFonts w:hint="default" w:ascii="Times New Roman" w:hAnsi="Times New Roman" w:eastAsia="宋体" w:cs="Times New Roman"/>
                <w:sz w:val="21"/>
                <w:szCs w:val="21"/>
                <w:u w:val="none"/>
                <w:lang w:val="en-US" w:eastAsia="zh-CN"/>
              </w:rPr>
            </w:pPr>
          </w:p>
        </w:tc>
        <w:tc>
          <w:tcPr>
            <w:tcW w:w="709" w:type="dxa"/>
            <w:tcBorders>
              <w:top w:val="single" w:color="auto" w:sz="4" w:space="0"/>
              <w:left w:val="single" w:color="auto" w:sz="6" w:space="0"/>
              <w:bottom w:val="single" w:color="auto" w:sz="4" w:space="0"/>
              <w:right w:val="single" w:color="auto" w:sz="4" w:space="0"/>
            </w:tcBorders>
            <w:vAlign w:val="center"/>
          </w:tcPr>
          <w:p w14:paraId="5E073976">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c>
          <w:tcPr>
            <w:tcW w:w="709" w:type="dxa"/>
            <w:tcBorders>
              <w:top w:val="single" w:color="auto" w:sz="4" w:space="0"/>
              <w:left w:val="single" w:color="auto" w:sz="6" w:space="0"/>
              <w:bottom w:val="single" w:color="auto" w:sz="4" w:space="0"/>
              <w:right w:val="single" w:color="auto" w:sz="4" w:space="0"/>
            </w:tcBorders>
            <w:vAlign w:val="center"/>
          </w:tcPr>
          <w:p w14:paraId="001E8AE3">
            <w:pPr>
              <w:keepNext w:val="0"/>
              <w:keepLines w:val="0"/>
              <w:pageBreakBefore w:val="0"/>
              <w:kinsoku/>
              <w:wordWrap/>
              <w:overflowPunct/>
              <w:topLinePunct w:val="0"/>
              <w:autoSpaceDE/>
              <w:autoSpaceDN/>
              <w:bidi w:val="0"/>
              <w:snapToGrid/>
              <w:spacing w:line="240" w:lineRule="exact"/>
              <w:jc w:val="center"/>
              <w:rPr>
                <w:rFonts w:hint="default" w:ascii="Times New Roman" w:hAnsi="Times New Roman" w:cs="Times New Roman"/>
                <w:sz w:val="21"/>
                <w:szCs w:val="21"/>
              </w:rPr>
            </w:pPr>
          </w:p>
        </w:tc>
      </w:tr>
    </w:tbl>
    <w:p w14:paraId="3382AC90">
      <w:pPr>
        <w:rPr>
          <w:rFonts w:ascii="宋体" w:hAnsi="宋体"/>
          <w:szCs w:val="21"/>
        </w:rPr>
      </w:pPr>
    </w:p>
    <w:p w14:paraId="1FAA769F">
      <w:pPr>
        <w:spacing w:before="240" w:beforeLines="100"/>
        <w:ind w:left="0" w:leftChars="0" w:firstLine="0" w:firstLineChars="0"/>
        <w:jc w:val="left"/>
        <w:rPr>
          <w:b/>
          <w:bCs/>
        </w:rPr>
      </w:pPr>
      <w:r>
        <w:rPr>
          <w:rFonts w:hint="eastAsia" w:cs="宋体"/>
          <w:b/>
          <w:bCs/>
        </w:rPr>
        <w:t>二、检验时间、</w:t>
      </w:r>
      <w:r>
        <w:rPr>
          <w:rFonts w:hint="eastAsia"/>
          <w:b/>
          <w:color w:val="000000"/>
          <w:szCs w:val="24"/>
        </w:rPr>
        <w:t>地点</w:t>
      </w:r>
    </w:p>
    <w:p w14:paraId="1245663B">
      <w:pPr>
        <w:spacing w:before="120" w:beforeLines="50" w:line="360" w:lineRule="auto"/>
        <w:ind w:left="0" w:leftChars="0" w:firstLine="0" w:firstLineChars="0"/>
      </w:pPr>
      <w:r>
        <w:rPr>
          <w:rFonts w:hint="eastAsia" w:cs="宋体"/>
        </w:rPr>
        <w:t>检验于</w:t>
      </w:r>
      <w:r>
        <w:rPr>
          <w:rFonts w:hint="eastAsia" w:cs="宋体"/>
          <w:lang w:val="en-US" w:eastAsia="zh-CN"/>
        </w:rPr>
        <w:t>XXXX年XX月XX日</w:t>
      </w:r>
      <w:r>
        <w:rPr>
          <w:rFonts w:hint="eastAsia" w:cs="宋体"/>
        </w:rPr>
        <w:t>在</w:t>
      </w:r>
      <w:r>
        <w:rPr>
          <w:rFonts w:hint="eastAsia" w:cs="宋体"/>
          <w:lang w:val="en-US" w:eastAsia="zh-CN"/>
        </w:rPr>
        <w:t>XXXX</w:t>
      </w:r>
      <w:r>
        <w:rPr>
          <w:rFonts w:hint="eastAsia" w:cs="宋体"/>
        </w:rPr>
        <w:t>进行。</w:t>
      </w:r>
    </w:p>
    <w:p w14:paraId="7DF28467">
      <w:pPr>
        <w:rPr>
          <w:rFonts w:ascii="宋体" w:hAnsi="宋体"/>
          <w:szCs w:val="21"/>
        </w:rPr>
      </w:pPr>
      <w:r>
        <w:rPr>
          <w:rFonts w:ascii="宋体" w:hAnsi="宋体"/>
          <w:szCs w:val="21"/>
        </w:rPr>
        <w:br w:type="page"/>
      </w:r>
    </w:p>
    <w:p w14:paraId="56B70271">
      <w:pPr>
        <w:spacing w:before="240" w:beforeLines="100"/>
        <w:ind w:firstLine="843" w:firstLineChars="400"/>
        <w:rPr>
          <w:rFonts w:hint="eastAsia" w:cs="宋体"/>
          <w:b/>
          <w:bCs/>
        </w:rPr>
      </w:pPr>
    </w:p>
    <w:p w14:paraId="32EB2327">
      <w:pPr>
        <w:keepNext w:val="0"/>
        <w:keepLines w:val="0"/>
        <w:pageBreakBefore w:val="0"/>
        <w:widowControl w:val="0"/>
        <w:kinsoku/>
        <w:wordWrap/>
        <w:overflowPunct/>
        <w:topLinePunct w:val="0"/>
        <w:autoSpaceDE/>
        <w:autoSpaceDN/>
        <w:bidi w:val="0"/>
        <w:adjustRightInd/>
        <w:snapToGrid/>
        <w:textAlignment w:val="auto"/>
        <w:rPr>
          <w:rFonts w:hint="eastAsia"/>
          <w:b/>
          <w:color w:val="000000"/>
          <w:sz w:val="24"/>
          <w:szCs w:val="32"/>
        </w:rPr>
      </w:pPr>
      <w:r>
        <w:rPr>
          <w:rFonts w:hint="eastAsia"/>
          <w:b/>
          <w:color w:val="000000"/>
          <w:sz w:val="24"/>
          <w:szCs w:val="32"/>
        </w:rPr>
        <w:t>附录</w:t>
      </w:r>
      <w:r>
        <w:rPr>
          <w:rFonts w:hint="eastAsia"/>
          <w:b/>
          <w:color w:val="000000"/>
          <w:sz w:val="24"/>
          <w:szCs w:val="32"/>
          <w:lang w:val="en-US" w:eastAsia="zh-CN"/>
        </w:rPr>
        <w:t>1</w:t>
      </w:r>
      <w:r>
        <w:rPr>
          <w:rFonts w:hint="eastAsia"/>
          <w:b/>
          <w:color w:val="000000"/>
          <w:sz w:val="24"/>
          <w:szCs w:val="32"/>
        </w:rPr>
        <w:t>：样品情况表</w:t>
      </w:r>
    </w:p>
    <w:p w14:paraId="76942BEE">
      <w:pPr>
        <w:keepNext w:val="0"/>
        <w:keepLines w:val="0"/>
        <w:pageBreakBefore w:val="0"/>
        <w:widowControl w:val="0"/>
        <w:kinsoku/>
        <w:wordWrap/>
        <w:overflowPunct/>
        <w:topLinePunct w:val="0"/>
        <w:autoSpaceDE/>
        <w:autoSpaceDN/>
        <w:bidi w:val="0"/>
        <w:adjustRightInd/>
        <w:snapToGrid/>
        <w:textAlignment w:val="auto"/>
        <w:rPr>
          <w:rFonts w:hint="eastAsia"/>
          <w:b/>
          <w:color w:val="000000"/>
          <w:szCs w:val="24"/>
        </w:rPr>
      </w:pPr>
    </w:p>
    <w:tbl>
      <w:tblPr>
        <w:tblStyle w:val="10"/>
        <w:tblW w:w="9222" w:type="dxa"/>
        <w:jc w:val="center"/>
        <w:tblLayout w:type="fixed"/>
        <w:tblCellMar>
          <w:top w:w="0" w:type="dxa"/>
          <w:left w:w="0" w:type="dxa"/>
          <w:bottom w:w="0" w:type="dxa"/>
          <w:right w:w="0" w:type="dxa"/>
        </w:tblCellMar>
      </w:tblPr>
      <w:tblGrid>
        <w:gridCol w:w="5400"/>
        <w:gridCol w:w="3822"/>
      </w:tblGrid>
      <w:tr w14:paraId="58358ED2">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1FD72F">
            <w:pPr>
              <w:snapToGrid w:val="0"/>
              <w:spacing w:line="240" w:lineRule="atLeast"/>
              <w:jc w:val="center"/>
              <w:rPr>
                <w:rFonts w:hint="eastAsia" w:ascii="宋体" w:hAnsi="宋体" w:cs="Arial"/>
                <w:color w:val="000000"/>
              </w:rPr>
            </w:pPr>
            <w:r>
              <w:rPr>
                <w:rFonts w:hint="eastAsia" w:ascii="宋体" w:hAnsi="宋体" w:cs="Arial"/>
                <w:b/>
              </w:rPr>
              <w:t>项  目</w:t>
            </w:r>
          </w:p>
        </w:tc>
        <w:tc>
          <w:tcPr>
            <w:tcW w:w="3822" w:type="dxa"/>
            <w:tcBorders>
              <w:top w:val="single" w:color="000000" w:sz="4" w:space="0"/>
              <w:left w:val="single" w:color="000000" w:sz="4" w:space="0"/>
              <w:bottom w:val="single" w:color="000000" w:sz="4" w:space="0"/>
              <w:right w:val="single" w:color="000000" w:sz="4" w:space="0"/>
            </w:tcBorders>
            <w:vAlign w:val="center"/>
          </w:tcPr>
          <w:p w14:paraId="72E55D62">
            <w:pPr>
              <w:snapToGrid w:val="0"/>
              <w:spacing w:line="240" w:lineRule="atLeast"/>
              <w:jc w:val="center"/>
              <w:rPr>
                <w:rFonts w:hint="eastAsia" w:ascii="宋体" w:hAnsi="宋体"/>
                <w:color w:val="000000"/>
                <w:sz w:val="18"/>
                <w:szCs w:val="18"/>
              </w:rPr>
            </w:pPr>
            <w:r>
              <w:rPr>
                <w:rFonts w:hint="eastAsia" w:ascii="宋体" w:hAnsi="宋体"/>
                <w:b/>
              </w:rPr>
              <w:t>样品情况</w:t>
            </w:r>
          </w:p>
        </w:tc>
      </w:tr>
      <w:tr w14:paraId="53E2C75C">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C37A44">
            <w:pPr>
              <w:rPr>
                <w:rFonts w:ascii="宋体" w:hAnsi="宋体" w:cs="Arial"/>
                <w:color w:val="000000"/>
              </w:rPr>
            </w:pPr>
            <w:r>
              <w:rPr>
                <w:rFonts w:hint="eastAsia" w:ascii="宋体" w:hAnsi="宋体" w:cs="Arial"/>
                <w:color w:val="000000"/>
              </w:rPr>
              <w:t>样车VIN</w:t>
            </w:r>
          </w:p>
        </w:tc>
        <w:tc>
          <w:tcPr>
            <w:tcW w:w="3822" w:type="dxa"/>
            <w:tcBorders>
              <w:top w:val="single" w:color="000000" w:sz="4" w:space="0"/>
              <w:left w:val="single" w:color="000000" w:sz="4" w:space="0"/>
              <w:bottom w:val="single" w:color="000000" w:sz="4" w:space="0"/>
              <w:right w:val="single" w:color="000000" w:sz="4" w:space="0"/>
            </w:tcBorders>
            <w:vAlign w:val="center"/>
          </w:tcPr>
          <w:p w14:paraId="7C70391A">
            <w:pPr>
              <w:jc w:val="center"/>
              <w:rPr>
                <w:rFonts w:hint="default" w:ascii="宋体" w:hAnsi="宋体" w:eastAsia="宋体" w:cs="Arial"/>
                <w:color w:val="000000"/>
                <w:lang w:val="en-US" w:eastAsia="zh-CN"/>
              </w:rPr>
            </w:pPr>
            <w:r>
              <w:rPr>
                <w:rFonts w:hint="eastAsia" w:ascii="宋体" w:hAnsi="宋体" w:eastAsia="宋体" w:cs="Arial"/>
                <w:color w:val="000000"/>
                <w:lang w:val="en-US" w:eastAsia="zh-CN"/>
              </w:rPr>
              <w:t>XX</w:t>
            </w:r>
          </w:p>
        </w:tc>
      </w:tr>
      <w:tr w14:paraId="1E5B898E">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4F879E">
            <w:pPr>
              <w:rPr>
                <w:rFonts w:ascii="宋体" w:hAnsi="宋体" w:cs="Arial"/>
                <w:color w:val="000000"/>
              </w:rPr>
            </w:pPr>
            <w:r>
              <w:rPr>
                <w:rFonts w:hint="eastAsia" w:ascii="宋体" w:hAnsi="宋体" w:cs="Arial"/>
                <w:color w:val="000000"/>
              </w:rPr>
              <w:t>样车发动机（驱动电机）号</w:t>
            </w:r>
          </w:p>
        </w:tc>
        <w:tc>
          <w:tcPr>
            <w:tcW w:w="3822" w:type="dxa"/>
            <w:tcBorders>
              <w:top w:val="single" w:color="000000" w:sz="4" w:space="0"/>
              <w:left w:val="single" w:color="000000" w:sz="4" w:space="0"/>
              <w:bottom w:val="single" w:color="000000" w:sz="4" w:space="0"/>
              <w:right w:val="single" w:color="000000" w:sz="4" w:space="0"/>
            </w:tcBorders>
            <w:vAlign w:val="center"/>
          </w:tcPr>
          <w:p w14:paraId="719838EE">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7A9D6D6A">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1449A6">
            <w:pPr>
              <w:rPr>
                <w:rFonts w:ascii="宋体" w:hAnsi="宋体" w:cs="Arial"/>
                <w:color w:val="000000"/>
              </w:rPr>
            </w:pPr>
            <w:r>
              <w:rPr>
                <w:rFonts w:hint="eastAsia" w:ascii="宋体" w:hAnsi="宋体" w:cs="Arial"/>
                <w:color w:val="000000"/>
              </w:rPr>
              <w:t>车辆类型</w:t>
            </w:r>
          </w:p>
        </w:tc>
        <w:tc>
          <w:tcPr>
            <w:tcW w:w="3822" w:type="dxa"/>
            <w:tcBorders>
              <w:top w:val="single" w:color="000000" w:sz="4" w:space="0"/>
              <w:left w:val="single" w:color="000000" w:sz="4" w:space="0"/>
              <w:bottom w:val="single" w:color="000000" w:sz="4" w:space="0"/>
              <w:right w:val="single" w:color="000000" w:sz="4" w:space="0"/>
            </w:tcBorders>
            <w:vAlign w:val="center"/>
          </w:tcPr>
          <w:p w14:paraId="4446D287">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2F358089">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73FC7">
            <w:pPr>
              <w:rPr>
                <w:rFonts w:ascii="宋体" w:hAnsi="宋体" w:cs="Arial"/>
                <w:color w:val="000000"/>
              </w:rPr>
            </w:pPr>
            <w:r>
              <w:rPr>
                <w:rFonts w:hint="eastAsia" w:ascii="宋体" w:hAnsi="宋体" w:cs="Arial"/>
                <w:color w:val="000000"/>
              </w:rPr>
              <w:t>危险货物运输车辆类型</w:t>
            </w:r>
          </w:p>
        </w:tc>
        <w:tc>
          <w:tcPr>
            <w:tcW w:w="3822" w:type="dxa"/>
            <w:tcBorders>
              <w:top w:val="single" w:color="000000" w:sz="4" w:space="0"/>
              <w:left w:val="single" w:color="000000" w:sz="4" w:space="0"/>
              <w:bottom w:val="single" w:color="000000" w:sz="4" w:space="0"/>
              <w:right w:val="single" w:color="000000" w:sz="4" w:space="0"/>
            </w:tcBorders>
          </w:tcPr>
          <w:p w14:paraId="20FE315F">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7A692F7D">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B50DE">
            <w:pPr>
              <w:rPr>
                <w:rFonts w:ascii="宋体" w:hAnsi="宋体" w:cs="Arial"/>
                <w:color w:val="000000"/>
              </w:rPr>
            </w:pPr>
            <w:r>
              <w:rPr>
                <w:rFonts w:hint="eastAsia" w:ascii="宋体" w:hAnsi="宋体" w:cs="Arial"/>
                <w:color w:val="000000"/>
              </w:rPr>
              <w:t>最高车速(km/h)</w:t>
            </w:r>
          </w:p>
        </w:tc>
        <w:tc>
          <w:tcPr>
            <w:tcW w:w="3822" w:type="dxa"/>
            <w:tcBorders>
              <w:top w:val="single" w:color="000000" w:sz="4" w:space="0"/>
              <w:left w:val="single" w:color="000000" w:sz="4" w:space="0"/>
              <w:bottom w:val="single" w:color="000000" w:sz="4" w:space="0"/>
              <w:right w:val="single" w:color="000000" w:sz="4" w:space="0"/>
            </w:tcBorders>
          </w:tcPr>
          <w:p w14:paraId="2C65755B">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456F358C">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1D219">
            <w:pPr>
              <w:rPr>
                <w:rFonts w:ascii="宋体" w:hAnsi="宋体" w:cs="Arial"/>
                <w:color w:val="000000"/>
              </w:rPr>
            </w:pPr>
            <w:r>
              <w:rPr>
                <w:rFonts w:hint="eastAsia" w:ascii="宋体" w:hAnsi="宋体" w:cs="Arial"/>
                <w:color w:val="000000"/>
              </w:rPr>
              <w:t>容积（m3）</w:t>
            </w:r>
          </w:p>
        </w:tc>
        <w:tc>
          <w:tcPr>
            <w:tcW w:w="3822" w:type="dxa"/>
            <w:tcBorders>
              <w:top w:val="single" w:color="000000" w:sz="4" w:space="0"/>
              <w:left w:val="single" w:color="000000" w:sz="4" w:space="0"/>
              <w:bottom w:val="single" w:color="000000" w:sz="4" w:space="0"/>
              <w:right w:val="single" w:color="000000" w:sz="4" w:space="0"/>
            </w:tcBorders>
          </w:tcPr>
          <w:p w14:paraId="10453232">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47D42419">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CB82CB">
            <w:pPr>
              <w:rPr>
                <w:rFonts w:ascii="宋体" w:hAnsi="宋体" w:cs="Arial"/>
                <w:color w:val="000000"/>
              </w:rPr>
            </w:pPr>
            <w:r>
              <w:rPr>
                <w:rFonts w:hint="eastAsia" w:ascii="宋体" w:hAnsi="宋体" w:cs="Arial"/>
                <w:color w:val="000000"/>
              </w:rPr>
              <w:t>整备质量(kg)</w:t>
            </w:r>
          </w:p>
        </w:tc>
        <w:tc>
          <w:tcPr>
            <w:tcW w:w="3822" w:type="dxa"/>
            <w:tcBorders>
              <w:top w:val="single" w:color="000000" w:sz="4" w:space="0"/>
              <w:left w:val="single" w:color="000000" w:sz="4" w:space="0"/>
              <w:bottom w:val="single" w:color="000000" w:sz="4" w:space="0"/>
              <w:right w:val="single" w:color="000000" w:sz="4" w:space="0"/>
            </w:tcBorders>
          </w:tcPr>
          <w:p w14:paraId="56F20E0E">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5C439DB7">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B92609">
            <w:pPr>
              <w:rPr>
                <w:rFonts w:ascii="宋体" w:hAnsi="宋体" w:cs="Arial"/>
                <w:color w:val="000000"/>
              </w:rPr>
            </w:pPr>
            <w:r>
              <w:rPr>
                <w:rFonts w:hint="eastAsia" w:ascii="宋体" w:hAnsi="宋体" w:cs="Arial"/>
                <w:color w:val="000000"/>
              </w:rPr>
              <w:t>整备质量轴荷（第1轴）（kg）</w:t>
            </w:r>
          </w:p>
        </w:tc>
        <w:tc>
          <w:tcPr>
            <w:tcW w:w="3822" w:type="dxa"/>
            <w:tcBorders>
              <w:top w:val="single" w:color="000000" w:sz="4" w:space="0"/>
              <w:left w:val="single" w:color="000000" w:sz="4" w:space="0"/>
              <w:bottom w:val="single" w:color="000000" w:sz="4" w:space="0"/>
              <w:right w:val="single" w:color="000000" w:sz="4" w:space="0"/>
            </w:tcBorders>
          </w:tcPr>
          <w:p w14:paraId="0C9F9EAB">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0045B825">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99C913">
            <w:pPr>
              <w:rPr>
                <w:rFonts w:ascii="宋体" w:hAnsi="宋体" w:cs="Arial"/>
                <w:color w:val="000000"/>
              </w:rPr>
            </w:pPr>
            <w:r>
              <w:rPr>
                <w:rFonts w:hint="eastAsia" w:ascii="宋体" w:hAnsi="宋体" w:cs="Arial"/>
                <w:color w:val="000000"/>
              </w:rPr>
              <w:t>整备质量轴荷（第2轴）（kg）</w:t>
            </w:r>
          </w:p>
        </w:tc>
        <w:tc>
          <w:tcPr>
            <w:tcW w:w="3822" w:type="dxa"/>
            <w:tcBorders>
              <w:top w:val="single" w:color="000000" w:sz="4" w:space="0"/>
              <w:left w:val="single" w:color="000000" w:sz="4" w:space="0"/>
              <w:bottom w:val="single" w:color="000000" w:sz="4" w:space="0"/>
              <w:right w:val="single" w:color="000000" w:sz="4" w:space="0"/>
            </w:tcBorders>
          </w:tcPr>
          <w:p w14:paraId="4F3E9576">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710EFA72">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D07494">
            <w:pPr>
              <w:rPr>
                <w:rFonts w:ascii="宋体" w:hAnsi="宋体" w:cs="Arial"/>
                <w:color w:val="000000"/>
              </w:rPr>
            </w:pPr>
            <w:r>
              <w:rPr>
                <w:rFonts w:hint="eastAsia" w:ascii="宋体" w:hAnsi="宋体" w:cs="Arial"/>
                <w:color w:val="000000"/>
              </w:rPr>
              <w:t>整备质量轴荷（第3轴）（kg）</w:t>
            </w:r>
          </w:p>
        </w:tc>
        <w:tc>
          <w:tcPr>
            <w:tcW w:w="3822" w:type="dxa"/>
            <w:tcBorders>
              <w:top w:val="single" w:color="000000" w:sz="4" w:space="0"/>
              <w:left w:val="single" w:color="000000" w:sz="4" w:space="0"/>
              <w:bottom w:val="single" w:color="000000" w:sz="4" w:space="0"/>
              <w:right w:val="single" w:color="000000" w:sz="4" w:space="0"/>
            </w:tcBorders>
          </w:tcPr>
          <w:p w14:paraId="1E045965">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0A87ABD8">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6956F">
            <w:pPr>
              <w:rPr>
                <w:rFonts w:ascii="宋体" w:hAnsi="宋体" w:cs="Arial"/>
                <w:color w:val="000000"/>
              </w:rPr>
            </w:pPr>
            <w:r>
              <w:rPr>
                <w:rFonts w:hint="eastAsia" w:ascii="宋体" w:hAnsi="宋体" w:cs="Arial"/>
                <w:color w:val="000000"/>
              </w:rPr>
              <w:t>整备质量轴荷（第4轴）（kg）</w:t>
            </w:r>
          </w:p>
        </w:tc>
        <w:tc>
          <w:tcPr>
            <w:tcW w:w="3822" w:type="dxa"/>
            <w:tcBorders>
              <w:top w:val="single" w:color="000000" w:sz="4" w:space="0"/>
              <w:left w:val="single" w:color="000000" w:sz="4" w:space="0"/>
              <w:bottom w:val="single" w:color="000000" w:sz="4" w:space="0"/>
              <w:right w:val="single" w:color="000000" w:sz="4" w:space="0"/>
            </w:tcBorders>
          </w:tcPr>
          <w:p w14:paraId="1684F97A">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59FA848E">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01ADE6">
            <w:pPr>
              <w:rPr>
                <w:rFonts w:ascii="宋体" w:hAnsi="宋体" w:cs="Arial"/>
                <w:color w:val="000000"/>
              </w:rPr>
            </w:pPr>
            <w:r>
              <w:rPr>
                <w:rFonts w:hint="eastAsia" w:ascii="宋体" w:hAnsi="宋体" w:cs="Arial"/>
                <w:color w:val="000000"/>
              </w:rPr>
              <w:t>最大总质量（kg）</w:t>
            </w:r>
          </w:p>
        </w:tc>
        <w:tc>
          <w:tcPr>
            <w:tcW w:w="3822" w:type="dxa"/>
            <w:tcBorders>
              <w:top w:val="single" w:color="000000" w:sz="4" w:space="0"/>
              <w:left w:val="single" w:color="000000" w:sz="4" w:space="0"/>
              <w:bottom w:val="single" w:color="000000" w:sz="4" w:space="0"/>
              <w:right w:val="single" w:color="000000" w:sz="4" w:space="0"/>
            </w:tcBorders>
          </w:tcPr>
          <w:p w14:paraId="0FB8E647">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21068513">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701246">
            <w:pPr>
              <w:rPr>
                <w:rFonts w:ascii="宋体" w:hAnsi="宋体" w:cs="Arial"/>
                <w:color w:val="000000"/>
              </w:rPr>
            </w:pPr>
            <w:r>
              <w:rPr>
                <w:rFonts w:hint="eastAsia" w:ascii="宋体" w:hAnsi="宋体" w:cs="Arial"/>
                <w:color w:val="000000"/>
              </w:rPr>
              <w:t>总质量轴荷（第1轴）（kg）</w:t>
            </w:r>
          </w:p>
        </w:tc>
        <w:tc>
          <w:tcPr>
            <w:tcW w:w="3822" w:type="dxa"/>
            <w:tcBorders>
              <w:top w:val="single" w:color="000000" w:sz="4" w:space="0"/>
              <w:left w:val="single" w:color="000000" w:sz="4" w:space="0"/>
              <w:bottom w:val="single" w:color="000000" w:sz="4" w:space="0"/>
              <w:right w:val="single" w:color="000000" w:sz="4" w:space="0"/>
            </w:tcBorders>
          </w:tcPr>
          <w:p w14:paraId="0BCE10EE">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325B4952">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04100">
            <w:pPr>
              <w:rPr>
                <w:rFonts w:ascii="宋体" w:hAnsi="宋体" w:cs="Arial"/>
                <w:color w:val="000000"/>
              </w:rPr>
            </w:pPr>
            <w:r>
              <w:rPr>
                <w:rFonts w:hint="eastAsia" w:ascii="宋体" w:hAnsi="宋体" w:cs="Arial"/>
                <w:color w:val="000000"/>
              </w:rPr>
              <w:t>总质量轴荷（第2轴）（kg）</w:t>
            </w:r>
          </w:p>
        </w:tc>
        <w:tc>
          <w:tcPr>
            <w:tcW w:w="3822" w:type="dxa"/>
            <w:tcBorders>
              <w:top w:val="single" w:color="000000" w:sz="4" w:space="0"/>
              <w:left w:val="single" w:color="000000" w:sz="4" w:space="0"/>
              <w:bottom w:val="single" w:color="000000" w:sz="4" w:space="0"/>
              <w:right w:val="single" w:color="000000" w:sz="4" w:space="0"/>
            </w:tcBorders>
          </w:tcPr>
          <w:p w14:paraId="64A1FDF3">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00367983">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0A7A5D">
            <w:pPr>
              <w:rPr>
                <w:rFonts w:ascii="宋体" w:hAnsi="宋体" w:cs="Arial"/>
                <w:color w:val="000000"/>
              </w:rPr>
            </w:pPr>
            <w:r>
              <w:rPr>
                <w:rFonts w:hint="eastAsia" w:ascii="宋体" w:hAnsi="宋体" w:cs="Arial"/>
                <w:color w:val="000000"/>
              </w:rPr>
              <w:t>总质量轴荷（第3轴）（kg）</w:t>
            </w:r>
          </w:p>
        </w:tc>
        <w:tc>
          <w:tcPr>
            <w:tcW w:w="3822" w:type="dxa"/>
            <w:tcBorders>
              <w:top w:val="single" w:color="000000" w:sz="4" w:space="0"/>
              <w:left w:val="single" w:color="000000" w:sz="4" w:space="0"/>
              <w:bottom w:val="single" w:color="000000" w:sz="4" w:space="0"/>
              <w:right w:val="single" w:color="000000" w:sz="4" w:space="0"/>
            </w:tcBorders>
          </w:tcPr>
          <w:p w14:paraId="0D1A1635">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3745BDEB">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6306F6">
            <w:pPr>
              <w:rPr>
                <w:rFonts w:ascii="宋体" w:hAnsi="宋体" w:cs="Arial"/>
                <w:color w:val="000000"/>
              </w:rPr>
            </w:pPr>
            <w:r>
              <w:rPr>
                <w:rFonts w:hint="eastAsia" w:ascii="宋体" w:hAnsi="宋体" w:cs="Arial"/>
                <w:color w:val="000000"/>
              </w:rPr>
              <w:t>总质量轴荷（第4轴）（kg）</w:t>
            </w:r>
          </w:p>
        </w:tc>
        <w:tc>
          <w:tcPr>
            <w:tcW w:w="3822" w:type="dxa"/>
            <w:tcBorders>
              <w:top w:val="single" w:color="000000" w:sz="4" w:space="0"/>
              <w:left w:val="single" w:color="000000" w:sz="4" w:space="0"/>
              <w:bottom w:val="single" w:color="000000" w:sz="4" w:space="0"/>
              <w:right w:val="single" w:color="000000" w:sz="4" w:space="0"/>
            </w:tcBorders>
          </w:tcPr>
          <w:p w14:paraId="2F8006A6">
            <w:pPr>
              <w:jc w:val="center"/>
              <w:rPr>
                <w:rFonts w:hint="eastAsia" w:ascii="宋体" w:hAnsi="宋体" w:eastAsia="宋体" w:cs="Arial"/>
                <w:b/>
                <w:bCs/>
                <w:color w:val="000000"/>
                <w:lang w:eastAsia="zh-CN"/>
              </w:rPr>
            </w:pPr>
            <w:r>
              <w:rPr>
                <w:rFonts w:hint="eastAsia" w:ascii="宋体" w:hAnsi="宋体" w:eastAsia="宋体" w:cs="Arial"/>
                <w:color w:val="000000"/>
                <w:lang w:val="en-US" w:eastAsia="zh-CN"/>
              </w:rPr>
              <w:t>XX</w:t>
            </w:r>
          </w:p>
        </w:tc>
      </w:tr>
      <w:tr w14:paraId="1841AB55">
        <w:tblPrEx>
          <w:tblCellMar>
            <w:top w:w="0" w:type="dxa"/>
            <w:left w:w="0" w:type="dxa"/>
            <w:bottom w:w="0" w:type="dxa"/>
            <w:right w:w="0" w:type="dxa"/>
          </w:tblCellMar>
        </w:tblPrEx>
        <w:trPr>
          <w:trHeight w:val="255"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941DA2">
            <w:pPr>
              <w:rPr>
                <w:rFonts w:ascii="宋体" w:hAnsi="宋体" w:cs="Arial"/>
                <w:color w:val="000000"/>
              </w:rPr>
            </w:pPr>
            <w:r>
              <w:rPr>
                <w:rFonts w:hint="eastAsia" w:ascii="宋体" w:hAnsi="宋体" w:cs="Arial"/>
                <w:color w:val="000000"/>
              </w:rPr>
              <w:t>底盘型号</w:t>
            </w:r>
          </w:p>
        </w:tc>
        <w:tc>
          <w:tcPr>
            <w:tcW w:w="3822" w:type="dxa"/>
            <w:tcBorders>
              <w:top w:val="single" w:color="000000" w:sz="4" w:space="0"/>
              <w:left w:val="single" w:color="000000" w:sz="4" w:space="0"/>
              <w:bottom w:val="single" w:color="000000" w:sz="4" w:space="0"/>
              <w:right w:val="single" w:color="000000" w:sz="4" w:space="0"/>
            </w:tcBorders>
          </w:tcPr>
          <w:p w14:paraId="61B1E5E7">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643FE6F9">
        <w:tblPrEx>
          <w:tblCellMar>
            <w:top w:w="0" w:type="dxa"/>
            <w:left w:w="0" w:type="dxa"/>
            <w:bottom w:w="0" w:type="dxa"/>
            <w:right w:w="0" w:type="dxa"/>
          </w:tblCellMar>
        </w:tblPrEx>
        <w:trPr>
          <w:trHeight w:val="90"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C91931">
            <w:pPr>
              <w:jc w:val="left"/>
              <w:rPr>
                <w:rFonts w:hint="eastAsia" w:ascii="宋体" w:hAnsi="宋体" w:eastAsia="宋体" w:cs="Arial"/>
                <w:color w:val="000000"/>
                <w:lang w:eastAsia="zh-CN"/>
              </w:rPr>
            </w:pPr>
            <w:r>
              <w:rPr>
                <w:rFonts w:hint="eastAsia" w:ascii="宋体" w:hAnsi="宋体" w:eastAsia="宋体" w:cs="Arial"/>
                <w:color w:val="000000"/>
                <w:lang w:eastAsia="zh-CN"/>
              </w:rPr>
              <w:t>底盘生产企业</w:t>
            </w:r>
          </w:p>
        </w:tc>
        <w:tc>
          <w:tcPr>
            <w:tcW w:w="3822" w:type="dxa"/>
            <w:tcBorders>
              <w:top w:val="single" w:color="000000" w:sz="4" w:space="0"/>
              <w:left w:val="single" w:color="000000" w:sz="4" w:space="0"/>
              <w:bottom w:val="single" w:color="000000" w:sz="4" w:space="0"/>
              <w:right w:val="single" w:color="000000" w:sz="4" w:space="0"/>
            </w:tcBorders>
          </w:tcPr>
          <w:p w14:paraId="62730FCF">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7DB89E99">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CBAAA7">
            <w:pPr>
              <w:jc w:val="left"/>
              <w:rPr>
                <w:rFonts w:hint="eastAsia" w:ascii="宋体" w:hAnsi="宋体" w:eastAsia="宋体" w:cs="Arial"/>
                <w:color w:val="000000"/>
                <w:lang w:eastAsia="zh-CN"/>
              </w:rPr>
            </w:pPr>
            <w:r>
              <w:rPr>
                <w:rFonts w:hint="eastAsia" w:ascii="宋体" w:hAnsi="宋体" w:eastAsia="宋体" w:cs="Arial"/>
                <w:color w:val="000000"/>
                <w:lang w:eastAsia="zh-CN"/>
              </w:rPr>
              <w:t>车身或驾驶室型号</w:t>
            </w:r>
          </w:p>
        </w:tc>
        <w:tc>
          <w:tcPr>
            <w:tcW w:w="3822" w:type="dxa"/>
            <w:tcBorders>
              <w:top w:val="single" w:color="000000" w:sz="4" w:space="0"/>
              <w:left w:val="single" w:color="000000" w:sz="4" w:space="0"/>
              <w:bottom w:val="single" w:color="000000" w:sz="4" w:space="0"/>
              <w:right w:val="single" w:color="000000" w:sz="4" w:space="0"/>
            </w:tcBorders>
          </w:tcPr>
          <w:p w14:paraId="54037008">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6FFC9D4A">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866A4C">
            <w:pPr>
              <w:jc w:val="left"/>
              <w:rPr>
                <w:rFonts w:hint="eastAsia" w:ascii="宋体" w:hAnsi="宋体" w:eastAsia="宋体" w:cs="Arial"/>
                <w:color w:val="000000"/>
                <w:lang w:eastAsia="zh-CN"/>
              </w:rPr>
            </w:pPr>
            <w:r>
              <w:rPr>
                <w:rFonts w:hint="eastAsia" w:ascii="宋体" w:hAnsi="宋体" w:eastAsia="宋体" w:cs="Arial"/>
                <w:color w:val="000000"/>
                <w:lang w:eastAsia="zh-CN"/>
              </w:rPr>
              <w:t>车身或驾驶室生产企业</w:t>
            </w:r>
          </w:p>
        </w:tc>
        <w:tc>
          <w:tcPr>
            <w:tcW w:w="3822" w:type="dxa"/>
            <w:tcBorders>
              <w:top w:val="single" w:color="000000" w:sz="4" w:space="0"/>
              <w:left w:val="single" w:color="000000" w:sz="4" w:space="0"/>
              <w:bottom w:val="single" w:color="000000" w:sz="4" w:space="0"/>
              <w:right w:val="single" w:color="000000" w:sz="4" w:space="0"/>
            </w:tcBorders>
          </w:tcPr>
          <w:p w14:paraId="2E4AF34F">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70FC348A">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EDA2F4">
            <w:pPr>
              <w:rPr>
                <w:rFonts w:ascii="宋体" w:hAnsi="宋体" w:cs="Arial"/>
                <w:color w:val="000000"/>
              </w:rPr>
            </w:pPr>
            <w:r>
              <w:rPr>
                <w:rFonts w:hint="eastAsia" w:ascii="宋体" w:hAnsi="宋体" w:cs="Arial"/>
                <w:color w:val="000000"/>
              </w:rPr>
              <w:t>发动机型号</w:t>
            </w:r>
          </w:p>
        </w:tc>
        <w:tc>
          <w:tcPr>
            <w:tcW w:w="3822" w:type="dxa"/>
            <w:tcBorders>
              <w:top w:val="single" w:color="000000" w:sz="4" w:space="0"/>
              <w:left w:val="single" w:color="000000" w:sz="4" w:space="0"/>
              <w:bottom w:val="single" w:color="000000" w:sz="4" w:space="0"/>
              <w:right w:val="single" w:color="000000" w:sz="4" w:space="0"/>
            </w:tcBorders>
          </w:tcPr>
          <w:p w14:paraId="61D1B991">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061CB385">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120F">
            <w:pPr>
              <w:rPr>
                <w:rFonts w:ascii="宋体" w:hAnsi="宋体" w:cs="Arial"/>
                <w:color w:val="000000"/>
              </w:rPr>
            </w:pPr>
            <w:r>
              <w:rPr>
                <w:rFonts w:hint="eastAsia" w:ascii="宋体" w:hAnsi="宋体" w:cs="Arial"/>
                <w:color w:val="000000"/>
              </w:rPr>
              <w:t>发动机生产企业</w:t>
            </w:r>
          </w:p>
        </w:tc>
        <w:tc>
          <w:tcPr>
            <w:tcW w:w="3822" w:type="dxa"/>
            <w:tcBorders>
              <w:top w:val="single" w:color="000000" w:sz="4" w:space="0"/>
              <w:left w:val="single" w:color="000000" w:sz="4" w:space="0"/>
              <w:bottom w:val="single" w:color="000000" w:sz="4" w:space="0"/>
              <w:right w:val="single" w:color="000000" w:sz="4" w:space="0"/>
            </w:tcBorders>
          </w:tcPr>
          <w:p w14:paraId="1982BF06">
            <w:pPr>
              <w:jc w:val="center"/>
              <w:rPr>
                <w:rFonts w:hint="eastAsia" w:ascii="宋体" w:hAnsi="宋体" w:eastAsia="宋体" w:cs="Arial"/>
                <w:color w:val="000000"/>
                <w:lang w:eastAsia="zh-CN"/>
              </w:rPr>
            </w:pPr>
            <w:r>
              <w:rPr>
                <w:rFonts w:hint="eastAsia" w:ascii="宋体" w:hAnsi="宋体" w:eastAsia="宋体" w:cs="Arial"/>
                <w:color w:val="000000"/>
                <w:lang w:val="en-US" w:eastAsia="zh-CN"/>
              </w:rPr>
              <w:t>XX</w:t>
            </w:r>
          </w:p>
        </w:tc>
      </w:tr>
      <w:tr w14:paraId="686717E5">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6BB361">
            <w:pPr>
              <w:jc w:val="left"/>
              <w:rPr>
                <w:rFonts w:hint="eastAsia" w:ascii="宋体" w:hAnsi="宋体" w:cs="Arial"/>
                <w:color w:val="000000"/>
              </w:rPr>
            </w:pPr>
            <w:r>
              <w:rPr>
                <w:rFonts w:hint="eastAsia" w:cs="Arial" w:asciiTheme="minorEastAsia" w:hAnsiTheme="minorEastAsia" w:eastAsiaTheme="minorEastAsia"/>
                <w:color w:val="000000"/>
                <w:sz w:val="21"/>
                <w:szCs w:val="21"/>
              </w:rPr>
              <w:t>轮胎规格</w:t>
            </w:r>
          </w:p>
        </w:tc>
        <w:tc>
          <w:tcPr>
            <w:tcW w:w="3822" w:type="dxa"/>
            <w:tcBorders>
              <w:top w:val="single" w:color="000000" w:sz="4" w:space="0"/>
              <w:left w:val="single" w:color="000000" w:sz="4" w:space="0"/>
              <w:bottom w:val="single" w:color="000000" w:sz="4" w:space="0"/>
              <w:right w:val="single" w:color="000000" w:sz="4" w:space="0"/>
            </w:tcBorders>
          </w:tcPr>
          <w:p w14:paraId="7522284C">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15A2F124">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B936F3">
            <w:pPr>
              <w:jc w:val="left"/>
              <w:rPr>
                <w:rFonts w:hint="eastAsia" w:ascii="宋体" w:hAnsi="宋体" w:cs="Arial"/>
                <w:color w:val="000000"/>
              </w:rPr>
            </w:pPr>
            <w:r>
              <w:rPr>
                <w:rFonts w:hint="eastAsia" w:cs="Arial" w:asciiTheme="minorEastAsia" w:hAnsiTheme="minorEastAsia" w:eastAsiaTheme="minorEastAsia"/>
                <w:color w:val="000000"/>
                <w:sz w:val="21"/>
                <w:szCs w:val="21"/>
              </w:rPr>
              <w:t>排气管排气出口位置</w:t>
            </w:r>
          </w:p>
        </w:tc>
        <w:tc>
          <w:tcPr>
            <w:tcW w:w="3822" w:type="dxa"/>
            <w:tcBorders>
              <w:top w:val="single" w:color="000000" w:sz="4" w:space="0"/>
              <w:left w:val="single" w:color="000000" w:sz="4" w:space="0"/>
              <w:bottom w:val="single" w:color="000000" w:sz="4" w:space="0"/>
              <w:right w:val="single" w:color="000000" w:sz="4" w:space="0"/>
            </w:tcBorders>
          </w:tcPr>
          <w:p w14:paraId="64439E0A">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73635A04">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E425E6">
            <w:pPr>
              <w:jc w:val="left"/>
              <w:rPr>
                <w:rFonts w:hint="eastAsia" w:ascii="宋体" w:hAnsi="宋体" w:cs="Arial"/>
                <w:color w:val="000000"/>
              </w:rPr>
            </w:pPr>
            <w:r>
              <w:rPr>
                <w:rFonts w:hint="eastAsia" w:cs="Arial" w:asciiTheme="minorEastAsia" w:hAnsiTheme="minorEastAsia" w:eastAsiaTheme="minorEastAsia"/>
                <w:color w:val="000000"/>
                <w:sz w:val="21"/>
                <w:szCs w:val="21"/>
              </w:rPr>
              <w:t>灭火</w:t>
            </w:r>
            <w:r>
              <w:rPr>
                <w:rFonts w:hint="eastAsia" w:cs="Arial" w:asciiTheme="minorEastAsia" w:hAnsiTheme="minorEastAsia" w:eastAsiaTheme="minorEastAsia"/>
                <w:color w:val="000000"/>
                <w:sz w:val="21"/>
                <w:szCs w:val="21"/>
                <w:lang w:val="en-US" w:eastAsia="zh-CN"/>
              </w:rPr>
              <w:t>器</w:t>
            </w:r>
            <w:r>
              <w:rPr>
                <w:rFonts w:hint="eastAsia" w:cs="Arial" w:asciiTheme="minorEastAsia" w:hAnsiTheme="minorEastAsia" w:eastAsiaTheme="minorEastAsia"/>
                <w:color w:val="000000"/>
                <w:sz w:val="21"/>
                <w:szCs w:val="21"/>
              </w:rPr>
              <w:t>型号</w:t>
            </w:r>
          </w:p>
        </w:tc>
        <w:tc>
          <w:tcPr>
            <w:tcW w:w="3822" w:type="dxa"/>
            <w:tcBorders>
              <w:top w:val="single" w:color="000000" w:sz="4" w:space="0"/>
              <w:left w:val="single" w:color="000000" w:sz="4" w:space="0"/>
              <w:bottom w:val="single" w:color="000000" w:sz="4" w:space="0"/>
              <w:right w:val="single" w:color="000000" w:sz="4" w:space="0"/>
            </w:tcBorders>
          </w:tcPr>
          <w:p w14:paraId="7A7D76CC">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24530E7C">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600F0">
            <w:pPr>
              <w:jc w:val="left"/>
              <w:rPr>
                <w:rFonts w:hint="eastAsia" w:ascii="宋体" w:hAnsi="宋体" w:cs="Arial"/>
                <w:color w:val="000000"/>
              </w:rPr>
            </w:pPr>
            <w:r>
              <w:rPr>
                <w:rFonts w:hint="eastAsia" w:cs="Arial" w:asciiTheme="minorEastAsia" w:hAnsiTheme="minorEastAsia" w:eastAsiaTheme="minorEastAsia"/>
                <w:color w:val="000000"/>
                <w:sz w:val="21"/>
                <w:szCs w:val="21"/>
              </w:rPr>
              <w:t>灭火</w:t>
            </w:r>
            <w:r>
              <w:rPr>
                <w:rFonts w:hint="eastAsia" w:cs="Arial" w:asciiTheme="minorEastAsia" w:hAnsiTheme="minorEastAsia" w:eastAsiaTheme="minorEastAsia"/>
                <w:color w:val="000000"/>
                <w:sz w:val="21"/>
                <w:szCs w:val="21"/>
                <w:lang w:val="en-US" w:eastAsia="zh-CN"/>
              </w:rPr>
              <w:t>器</w:t>
            </w:r>
            <w:r>
              <w:rPr>
                <w:rFonts w:hint="eastAsia" w:cs="Arial" w:asciiTheme="minorEastAsia" w:hAnsiTheme="minorEastAsia" w:eastAsiaTheme="minorEastAsia"/>
                <w:color w:val="000000"/>
                <w:sz w:val="21"/>
                <w:szCs w:val="21"/>
              </w:rPr>
              <w:t>规格</w:t>
            </w:r>
          </w:p>
        </w:tc>
        <w:tc>
          <w:tcPr>
            <w:tcW w:w="3822" w:type="dxa"/>
            <w:tcBorders>
              <w:top w:val="single" w:color="000000" w:sz="4" w:space="0"/>
              <w:left w:val="single" w:color="000000" w:sz="4" w:space="0"/>
              <w:bottom w:val="single" w:color="000000" w:sz="4" w:space="0"/>
              <w:right w:val="single" w:color="000000" w:sz="4" w:space="0"/>
            </w:tcBorders>
          </w:tcPr>
          <w:p w14:paraId="5E0EB8B3">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106D185F">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9AE3E2">
            <w:pPr>
              <w:jc w:val="left"/>
              <w:rPr>
                <w:rFonts w:hint="eastAsia" w:ascii="宋体" w:hAnsi="宋体" w:cs="Arial"/>
                <w:color w:val="000000"/>
              </w:rPr>
            </w:pPr>
            <w:r>
              <w:rPr>
                <w:rFonts w:hint="eastAsia" w:cs="Arial" w:asciiTheme="minorEastAsia" w:hAnsiTheme="minorEastAsia" w:eastAsiaTheme="minorEastAsia"/>
                <w:color w:val="000000"/>
                <w:sz w:val="21"/>
                <w:szCs w:val="21"/>
              </w:rPr>
              <w:t>灭火</w:t>
            </w:r>
            <w:r>
              <w:rPr>
                <w:rFonts w:hint="eastAsia" w:cs="Arial" w:asciiTheme="minorEastAsia" w:hAnsiTheme="minorEastAsia" w:eastAsiaTheme="minorEastAsia"/>
                <w:color w:val="000000"/>
                <w:sz w:val="21"/>
                <w:szCs w:val="21"/>
                <w:lang w:val="en-US" w:eastAsia="zh-CN"/>
              </w:rPr>
              <w:t>器</w:t>
            </w:r>
            <w:r>
              <w:rPr>
                <w:rFonts w:hint="eastAsia" w:cs="Arial" w:asciiTheme="minorEastAsia" w:hAnsiTheme="minorEastAsia" w:eastAsiaTheme="minorEastAsia"/>
                <w:color w:val="000000"/>
                <w:sz w:val="21"/>
                <w:szCs w:val="21"/>
              </w:rPr>
              <w:t>生产企业</w:t>
            </w:r>
          </w:p>
        </w:tc>
        <w:tc>
          <w:tcPr>
            <w:tcW w:w="3822" w:type="dxa"/>
            <w:tcBorders>
              <w:top w:val="single" w:color="000000" w:sz="4" w:space="0"/>
              <w:left w:val="single" w:color="000000" w:sz="4" w:space="0"/>
              <w:bottom w:val="single" w:color="000000" w:sz="4" w:space="0"/>
              <w:right w:val="single" w:color="000000" w:sz="4" w:space="0"/>
            </w:tcBorders>
          </w:tcPr>
          <w:p w14:paraId="0F286D3A">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08BF877E">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9A8778">
            <w:pPr>
              <w:jc w:val="left"/>
              <w:rPr>
                <w:rFonts w:hint="eastAsia" w:ascii="宋体" w:hAnsi="宋体" w:cs="Arial"/>
                <w:color w:val="000000"/>
              </w:rPr>
            </w:pPr>
            <w:r>
              <w:rPr>
                <w:rFonts w:hint="eastAsia" w:cs="Arial" w:asciiTheme="minorEastAsia" w:hAnsiTheme="minorEastAsia" w:eastAsiaTheme="minorEastAsia"/>
                <w:color w:val="000000"/>
                <w:sz w:val="21"/>
                <w:szCs w:val="21"/>
              </w:rPr>
              <w:t>灭火</w:t>
            </w:r>
            <w:r>
              <w:rPr>
                <w:rFonts w:hint="eastAsia" w:cs="Arial" w:asciiTheme="minorEastAsia" w:hAnsiTheme="minorEastAsia" w:eastAsiaTheme="minorEastAsia"/>
                <w:color w:val="000000"/>
                <w:sz w:val="21"/>
                <w:szCs w:val="21"/>
                <w:lang w:val="en-US" w:eastAsia="zh-CN"/>
              </w:rPr>
              <w:t>器</w:t>
            </w:r>
            <w:r>
              <w:rPr>
                <w:rFonts w:hint="eastAsia" w:cs="Arial" w:asciiTheme="minorEastAsia" w:hAnsiTheme="minorEastAsia" w:eastAsiaTheme="minorEastAsia"/>
                <w:color w:val="000000"/>
                <w:sz w:val="21"/>
                <w:szCs w:val="21"/>
              </w:rPr>
              <w:t>数量</w:t>
            </w:r>
          </w:p>
        </w:tc>
        <w:tc>
          <w:tcPr>
            <w:tcW w:w="3822" w:type="dxa"/>
            <w:tcBorders>
              <w:top w:val="single" w:color="000000" w:sz="4" w:space="0"/>
              <w:left w:val="single" w:color="000000" w:sz="4" w:space="0"/>
              <w:bottom w:val="single" w:color="000000" w:sz="4" w:space="0"/>
              <w:right w:val="single" w:color="000000" w:sz="4" w:space="0"/>
            </w:tcBorders>
          </w:tcPr>
          <w:p w14:paraId="33BDC49D">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086F7E9C">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CDFE3B">
            <w:pPr>
              <w:jc w:val="left"/>
              <w:rPr>
                <w:rFonts w:hint="eastAsia" w:ascii="宋体" w:hAnsi="宋体" w:cs="Arial"/>
                <w:color w:val="000000"/>
              </w:rPr>
            </w:pPr>
            <w:r>
              <w:rPr>
                <w:rFonts w:hint="eastAsia" w:cs="Arial" w:asciiTheme="minorEastAsia" w:hAnsiTheme="minorEastAsia" w:eastAsiaTheme="minorEastAsia"/>
                <w:color w:val="000000"/>
                <w:sz w:val="21"/>
                <w:szCs w:val="21"/>
              </w:rPr>
              <w:t>汽车导静电橡胶拖地带型号（燃气汽车）</w:t>
            </w:r>
          </w:p>
        </w:tc>
        <w:tc>
          <w:tcPr>
            <w:tcW w:w="3822" w:type="dxa"/>
            <w:tcBorders>
              <w:top w:val="single" w:color="000000" w:sz="4" w:space="0"/>
              <w:left w:val="single" w:color="000000" w:sz="4" w:space="0"/>
              <w:bottom w:val="single" w:color="000000" w:sz="4" w:space="0"/>
              <w:right w:val="single" w:color="000000" w:sz="4" w:space="0"/>
            </w:tcBorders>
          </w:tcPr>
          <w:p w14:paraId="6E33EC20">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77C9B578">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63A6A5">
            <w:pPr>
              <w:jc w:val="left"/>
              <w:rPr>
                <w:rFonts w:hint="eastAsia" w:ascii="宋体" w:hAnsi="宋体" w:cs="Arial"/>
                <w:color w:val="000000"/>
              </w:rPr>
            </w:pPr>
            <w:r>
              <w:rPr>
                <w:rFonts w:hint="eastAsia" w:cs="Arial" w:asciiTheme="minorEastAsia" w:hAnsiTheme="minorEastAsia" w:eastAsiaTheme="minorEastAsia"/>
                <w:color w:val="000000"/>
                <w:sz w:val="21"/>
                <w:szCs w:val="21"/>
              </w:rPr>
              <w:t>汽车导静电橡胶拖地带生产企业（燃气汽车）</w:t>
            </w:r>
          </w:p>
        </w:tc>
        <w:tc>
          <w:tcPr>
            <w:tcW w:w="3822" w:type="dxa"/>
            <w:tcBorders>
              <w:top w:val="single" w:color="000000" w:sz="4" w:space="0"/>
              <w:left w:val="single" w:color="000000" w:sz="4" w:space="0"/>
              <w:bottom w:val="single" w:color="000000" w:sz="4" w:space="0"/>
              <w:right w:val="single" w:color="000000" w:sz="4" w:space="0"/>
            </w:tcBorders>
          </w:tcPr>
          <w:p w14:paraId="0DE890D8">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7348BCF7">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F89E5B">
            <w:pPr>
              <w:jc w:val="left"/>
              <w:rPr>
                <w:rFonts w:hint="eastAsia" w:ascii="宋体" w:hAnsi="宋体" w:cs="Arial"/>
                <w:color w:val="000000"/>
              </w:rPr>
            </w:pPr>
            <w:r>
              <w:rPr>
                <w:rFonts w:hint="eastAsia" w:cs="Arial" w:asciiTheme="minorEastAsia" w:hAnsiTheme="minorEastAsia" w:eastAsiaTheme="minorEastAsia"/>
                <w:color w:val="000000"/>
                <w:sz w:val="21"/>
                <w:szCs w:val="21"/>
                <w:lang w:val="en-US" w:eastAsia="zh-CN"/>
              </w:rPr>
              <w:t>烟火</w:t>
            </w:r>
            <w:r>
              <w:rPr>
                <w:rFonts w:hint="eastAsia" w:cs="Arial" w:asciiTheme="minorEastAsia" w:hAnsiTheme="minorEastAsia" w:eastAsiaTheme="minorEastAsia"/>
                <w:color w:val="000000"/>
                <w:sz w:val="21"/>
                <w:szCs w:val="21"/>
              </w:rPr>
              <w:t>报警</w:t>
            </w:r>
            <w:r>
              <w:rPr>
                <w:rFonts w:hint="eastAsia" w:cs="Arial" w:asciiTheme="minorEastAsia" w:hAnsiTheme="minorEastAsia" w:eastAsiaTheme="minorEastAsia"/>
                <w:color w:val="000000"/>
                <w:sz w:val="21"/>
                <w:szCs w:val="21"/>
                <w:lang w:val="en-US" w:eastAsia="zh-CN"/>
              </w:rPr>
              <w:t>系统</w:t>
            </w:r>
            <w:r>
              <w:rPr>
                <w:rFonts w:hint="eastAsia" w:cs="Arial" w:asciiTheme="minorEastAsia" w:hAnsiTheme="minorEastAsia" w:eastAsiaTheme="minorEastAsia"/>
                <w:color w:val="000000"/>
                <w:sz w:val="21"/>
                <w:szCs w:val="21"/>
              </w:rPr>
              <w:t>型号</w:t>
            </w:r>
          </w:p>
        </w:tc>
        <w:tc>
          <w:tcPr>
            <w:tcW w:w="3822" w:type="dxa"/>
            <w:tcBorders>
              <w:top w:val="single" w:color="000000" w:sz="4" w:space="0"/>
              <w:left w:val="single" w:color="000000" w:sz="4" w:space="0"/>
              <w:bottom w:val="single" w:color="000000" w:sz="4" w:space="0"/>
              <w:right w:val="single" w:color="000000" w:sz="4" w:space="0"/>
            </w:tcBorders>
          </w:tcPr>
          <w:p w14:paraId="613CF2A5">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3DA88F17">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7A3FE">
            <w:pPr>
              <w:jc w:val="left"/>
              <w:rPr>
                <w:rFonts w:hint="eastAsia" w:ascii="宋体" w:hAnsi="宋体" w:cs="Arial"/>
                <w:color w:val="000000"/>
              </w:rPr>
            </w:pPr>
            <w:r>
              <w:rPr>
                <w:rFonts w:hint="eastAsia" w:cs="Arial" w:asciiTheme="minorEastAsia" w:hAnsiTheme="minorEastAsia" w:eastAsiaTheme="minorEastAsia"/>
                <w:color w:val="000000"/>
                <w:sz w:val="21"/>
                <w:szCs w:val="21"/>
                <w:lang w:val="en-US" w:eastAsia="zh-CN"/>
              </w:rPr>
              <w:t>烟火</w:t>
            </w:r>
            <w:r>
              <w:rPr>
                <w:rFonts w:hint="eastAsia" w:cs="Arial" w:asciiTheme="minorEastAsia" w:hAnsiTheme="minorEastAsia" w:eastAsiaTheme="minorEastAsia"/>
                <w:color w:val="000000"/>
                <w:sz w:val="21"/>
                <w:szCs w:val="21"/>
              </w:rPr>
              <w:t>报警</w:t>
            </w:r>
            <w:r>
              <w:rPr>
                <w:rFonts w:hint="eastAsia" w:cs="Arial" w:asciiTheme="minorEastAsia" w:hAnsiTheme="minorEastAsia" w:eastAsiaTheme="minorEastAsia"/>
                <w:color w:val="000000"/>
                <w:sz w:val="21"/>
                <w:szCs w:val="21"/>
                <w:lang w:val="en-US" w:eastAsia="zh-CN"/>
              </w:rPr>
              <w:t>系统</w:t>
            </w:r>
            <w:r>
              <w:rPr>
                <w:rFonts w:hint="eastAsia" w:cs="Arial" w:asciiTheme="minorEastAsia" w:hAnsiTheme="minorEastAsia" w:eastAsiaTheme="minorEastAsia"/>
                <w:color w:val="000000"/>
                <w:sz w:val="21"/>
                <w:szCs w:val="21"/>
              </w:rPr>
              <w:t>生产企业</w:t>
            </w:r>
          </w:p>
        </w:tc>
        <w:tc>
          <w:tcPr>
            <w:tcW w:w="3822" w:type="dxa"/>
            <w:tcBorders>
              <w:top w:val="single" w:color="000000" w:sz="4" w:space="0"/>
              <w:left w:val="single" w:color="000000" w:sz="4" w:space="0"/>
              <w:bottom w:val="single" w:color="000000" w:sz="4" w:space="0"/>
              <w:right w:val="single" w:color="000000" w:sz="4" w:space="0"/>
            </w:tcBorders>
          </w:tcPr>
          <w:p w14:paraId="0B1686B4">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4BE386D2">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31B222">
            <w:pPr>
              <w:jc w:val="left"/>
              <w:rPr>
                <w:rFonts w:hint="eastAsia" w:ascii="宋体" w:hAnsi="宋体" w:cs="Arial"/>
                <w:color w:val="000000"/>
              </w:rPr>
            </w:pPr>
            <w:r>
              <w:rPr>
                <w:rFonts w:hint="eastAsia" w:cs="Arial" w:asciiTheme="minorEastAsia" w:hAnsiTheme="minorEastAsia" w:eastAsiaTheme="minorEastAsia"/>
                <w:color w:val="000000"/>
                <w:sz w:val="21"/>
                <w:szCs w:val="21"/>
              </w:rPr>
              <w:t>防盗报警装置型号</w:t>
            </w:r>
          </w:p>
        </w:tc>
        <w:tc>
          <w:tcPr>
            <w:tcW w:w="3822" w:type="dxa"/>
            <w:tcBorders>
              <w:top w:val="single" w:color="000000" w:sz="4" w:space="0"/>
              <w:left w:val="single" w:color="000000" w:sz="4" w:space="0"/>
              <w:bottom w:val="single" w:color="000000" w:sz="4" w:space="0"/>
              <w:right w:val="single" w:color="000000" w:sz="4" w:space="0"/>
            </w:tcBorders>
          </w:tcPr>
          <w:p w14:paraId="03A9E7FA">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14B82200">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295B6F">
            <w:pPr>
              <w:jc w:val="left"/>
              <w:rPr>
                <w:rFonts w:hint="eastAsia" w:ascii="宋体" w:hAnsi="宋体" w:cs="Arial"/>
                <w:color w:val="000000"/>
              </w:rPr>
            </w:pPr>
            <w:r>
              <w:rPr>
                <w:rFonts w:hint="eastAsia" w:cs="Arial" w:asciiTheme="minorEastAsia" w:hAnsiTheme="minorEastAsia" w:eastAsiaTheme="minorEastAsia"/>
                <w:color w:val="000000"/>
                <w:sz w:val="21"/>
                <w:szCs w:val="21"/>
              </w:rPr>
              <w:t>防盗报警装置生产企业</w:t>
            </w:r>
          </w:p>
        </w:tc>
        <w:tc>
          <w:tcPr>
            <w:tcW w:w="3822" w:type="dxa"/>
            <w:tcBorders>
              <w:top w:val="single" w:color="000000" w:sz="4" w:space="0"/>
              <w:left w:val="single" w:color="000000" w:sz="4" w:space="0"/>
              <w:bottom w:val="single" w:color="000000" w:sz="4" w:space="0"/>
              <w:right w:val="single" w:color="000000" w:sz="4" w:space="0"/>
            </w:tcBorders>
          </w:tcPr>
          <w:p w14:paraId="3B852336">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30B41A41">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7A7A">
            <w:pPr>
              <w:jc w:val="left"/>
              <w:rPr>
                <w:rFonts w:hint="eastAsia" w:ascii="宋体" w:hAnsi="宋体" w:cs="Arial"/>
                <w:color w:val="000000"/>
              </w:rPr>
            </w:pPr>
            <w:r>
              <w:rPr>
                <w:rFonts w:hint="default" w:ascii="Times New Roman" w:hAnsi="Times New Roman" w:cs="Times New Roman"/>
                <w:highlight w:val="none"/>
              </w:rPr>
              <w:t>视频监控系统</w:t>
            </w:r>
            <w:r>
              <w:rPr>
                <w:rFonts w:hint="eastAsia" w:cs="Arial" w:asciiTheme="minorEastAsia" w:hAnsiTheme="minorEastAsia" w:eastAsiaTheme="minorEastAsia"/>
                <w:color w:val="000000"/>
                <w:sz w:val="21"/>
                <w:szCs w:val="21"/>
              </w:rPr>
              <w:t>型号</w:t>
            </w:r>
          </w:p>
        </w:tc>
        <w:tc>
          <w:tcPr>
            <w:tcW w:w="3822" w:type="dxa"/>
            <w:tcBorders>
              <w:top w:val="single" w:color="000000" w:sz="4" w:space="0"/>
              <w:left w:val="single" w:color="000000" w:sz="4" w:space="0"/>
              <w:bottom w:val="single" w:color="000000" w:sz="4" w:space="0"/>
              <w:right w:val="single" w:color="000000" w:sz="4" w:space="0"/>
            </w:tcBorders>
          </w:tcPr>
          <w:p w14:paraId="0A6AF3D1">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1E33653C">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DB890E">
            <w:pPr>
              <w:jc w:val="left"/>
              <w:rPr>
                <w:rFonts w:hint="eastAsia" w:ascii="宋体" w:hAnsi="宋体" w:cs="Arial"/>
                <w:color w:val="000000"/>
              </w:rPr>
            </w:pPr>
            <w:r>
              <w:rPr>
                <w:rFonts w:hint="default" w:ascii="Times New Roman" w:hAnsi="Times New Roman" w:cs="Times New Roman"/>
                <w:highlight w:val="none"/>
              </w:rPr>
              <w:t>视频监控系统</w:t>
            </w:r>
            <w:r>
              <w:rPr>
                <w:rFonts w:hint="eastAsia" w:cs="Arial" w:asciiTheme="minorEastAsia" w:hAnsiTheme="minorEastAsia" w:eastAsiaTheme="minorEastAsia"/>
                <w:color w:val="000000"/>
                <w:sz w:val="21"/>
                <w:szCs w:val="21"/>
              </w:rPr>
              <w:t>生产企业</w:t>
            </w:r>
          </w:p>
        </w:tc>
        <w:tc>
          <w:tcPr>
            <w:tcW w:w="3822" w:type="dxa"/>
            <w:tcBorders>
              <w:top w:val="single" w:color="000000" w:sz="4" w:space="0"/>
              <w:left w:val="single" w:color="000000" w:sz="4" w:space="0"/>
              <w:bottom w:val="single" w:color="000000" w:sz="4" w:space="0"/>
              <w:right w:val="single" w:color="000000" w:sz="4" w:space="0"/>
            </w:tcBorders>
          </w:tcPr>
          <w:p w14:paraId="1E572185">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662D2590">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361B50">
            <w:pPr>
              <w:jc w:val="left"/>
              <w:rPr>
                <w:rFonts w:hint="eastAsia" w:ascii="宋体" w:hAnsi="宋体" w:cs="Arial"/>
                <w:color w:val="000000"/>
              </w:rPr>
            </w:pPr>
            <w:r>
              <w:rPr>
                <w:rFonts w:hint="eastAsia" w:cs="Arial" w:asciiTheme="minorEastAsia" w:hAnsiTheme="minorEastAsia" w:eastAsiaTheme="minorEastAsia"/>
                <w:color w:val="000000"/>
                <w:sz w:val="21"/>
                <w:szCs w:val="21"/>
              </w:rPr>
              <w:t>摄像头型号</w:t>
            </w:r>
          </w:p>
        </w:tc>
        <w:tc>
          <w:tcPr>
            <w:tcW w:w="3822" w:type="dxa"/>
            <w:tcBorders>
              <w:top w:val="single" w:color="000000" w:sz="4" w:space="0"/>
              <w:left w:val="single" w:color="000000" w:sz="4" w:space="0"/>
              <w:bottom w:val="single" w:color="000000" w:sz="4" w:space="0"/>
              <w:right w:val="single" w:color="000000" w:sz="4" w:space="0"/>
            </w:tcBorders>
          </w:tcPr>
          <w:p w14:paraId="330A30B8">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46C70C5A">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EFDFD2">
            <w:pPr>
              <w:jc w:val="left"/>
              <w:rPr>
                <w:rFonts w:hint="eastAsia" w:ascii="宋体" w:hAnsi="宋体" w:cs="Arial"/>
                <w:color w:val="000000"/>
              </w:rPr>
            </w:pPr>
            <w:r>
              <w:rPr>
                <w:rFonts w:hint="eastAsia" w:cs="Arial" w:asciiTheme="minorEastAsia" w:hAnsiTheme="minorEastAsia" w:eastAsiaTheme="minorEastAsia"/>
                <w:color w:val="000000"/>
                <w:sz w:val="21"/>
                <w:szCs w:val="21"/>
              </w:rPr>
              <w:t>摄像头生产企业</w:t>
            </w:r>
          </w:p>
        </w:tc>
        <w:tc>
          <w:tcPr>
            <w:tcW w:w="3822" w:type="dxa"/>
            <w:tcBorders>
              <w:top w:val="single" w:color="000000" w:sz="4" w:space="0"/>
              <w:left w:val="single" w:color="000000" w:sz="4" w:space="0"/>
              <w:bottom w:val="single" w:color="000000" w:sz="4" w:space="0"/>
              <w:right w:val="single" w:color="000000" w:sz="4" w:space="0"/>
            </w:tcBorders>
          </w:tcPr>
          <w:p w14:paraId="119C08BE">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55872D95">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4D3771">
            <w:pPr>
              <w:jc w:val="left"/>
              <w:rPr>
                <w:rFonts w:hint="eastAsia" w:ascii="宋体" w:hAnsi="宋体" w:cs="Arial"/>
                <w:color w:val="000000"/>
              </w:rPr>
            </w:pPr>
            <w:r>
              <w:rPr>
                <w:rFonts w:hint="eastAsia" w:cs="Arial" w:asciiTheme="minorEastAsia" w:hAnsiTheme="minorEastAsia" w:eastAsiaTheme="minorEastAsia"/>
                <w:color w:val="000000"/>
                <w:sz w:val="21"/>
                <w:szCs w:val="21"/>
              </w:rPr>
              <w:t>排气火花熄</w:t>
            </w:r>
            <w:bookmarkStart w:id="10" w:name="_GoBack"/>
            <w:bookmarkEnd w:id="10"/>
            <w:r>
              <w:rPr>
                <w:rFonts w:hint="eastAsia" w:cs="Arial" w:asciiTheme="minorEastAsia" w:hAnsiTheme="minorEastAsia" w:eastAsiaTheme="minorEastAsia"/>
                <w:color w:val="000000"/>
                <w:sz w:val="21"/>
                <w:szCs w:val="21"/>
              </w:rPr>
              <w:t>灭器型号</w:t>
            </w:r>
          </w:p>
        </w:tc>
        <w:tc>
          <w:tcPr>
            <w:tcW w:w="3822" w:type="dxa"/>
            <w:tcBorders>
              <w:top w:val="single" w:color="000000" w:sz="4" w:space="0"/>
              <w:left w:val="single" w:color="000000" w:sz="4" w:space="0"/>
              <w:bottom w:val="single" w:color="000000" w:sz="4" w:space="0"/>
              <w:right w:val="single" w:color="000000" w:sz="4" w:space="0"/>
            </w:tcBorders>
          </w:tcPr>
          <w:p w14:paraId="57AABEE5">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r w14:paraId="1C21E20F">
        <w:tblPrEx>
          <w:tblCellMar>
            <w:top w:w="0" w:type="dxa"/>
            <w:left w:w="0" w:type="dxa"/>
            <w:bottom w:w="0" w:type="dxa"/>
            <w:right w:w="0" w:type="dxa"/>
          </w:tblCellMar>
        </w:tblPrEx>
        <w:trPr>
          <w:trHeight w:val="283" w:hRule="atLeast"/>
          <w:jc w:val="center"/>
        </w:trPr>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E6C3F1">
            <w:pPr>
              <w:jc w:val="left"/>
              <w:rPr>
                <w:rFonts w:hint="eastAsia" w:ascii="宋体" w:hAnsi="宋体" w:cs="Arial"/>
                <w:color w:val="000000"/>
              </w:rPr>
            </w:pPr>
            <w:r>
              <w:rPr>
                <w:rFonts w:hint="eastAsia" w:cs="Arial" w:asciiTheme="minorEastAsia" w:hAnsiTheme="minorEastAsia" w:eastAsiaTheme="minorEastAsia"/>
                <w:color w:val="000000"/>
                <w:sz w:val="21"/>
                <w:szCs w:val="21"/>
              </w:rPr>
              <w:t>排气火花熄灭器生产企业</w:t>
            </w:r>
          </w:p>
        </w:tc>
        <w:tc>
          <w:tcPr>
            <w:tcW w:w="3822" w:type="dxa"/>
            <w:tcBorders>
              <w:top w:val="single" w:color="000000" w:sz="4" w:space="0"/>
              <w:left w:val="single" w:color="000000" w:sz="4" w:space="0"/>
              <w:bottom w:val="single" w:color="000000" w:sz="4" w:space="0"/>
              <w:right w:val="single" w:color="000000" w:sz="4" w:space="0"/>
            </w:tcBorders>
          </w:tcPr>
          <w:p w14:paraId="74579C51">
            <w:pPr>
              <w:jc w:val="center"/>
              <w:rPr>
                <w:rFonts w:hint="eastAsia" w:ascii="宋体" w:hAnsi="宋体" w:eastAsia="宋体" w:cs="Arial"/>
                <w:color w:val="000000"/>
                <w:lang w:val="en-US" w:eastAsia="zh-CN"/>
              </w:rPr>
            </w:pPr>
            <w:r>
              <w:rPr>
                <w:rFonts w:hint="eastAsia" w:ascii="宋体" w:hAnsi="宋体" w:eastAsia="宋体" w:cs="Arial"/>
                <w:color w:val="000000"/>
                <w:lang w:val="en-US" w:eastAsia="zh-CN"/>
              </w:rPr>
              <w:t>XX</w:t>
            </w:r>
          </w:p>
        </w:tc>
      </w:tr>
    </w:tbl>
    <w:p w14:paraId="4677987E">
      <w:pPr>
        <w:pStyle w:val="17"/>
        <w:rPr>
          <w:rFonts w:hint="eastAsia" w:ascii="宋体" w:hAnsi="宋体"/>
          <w:szCs w:val="21"/>
        </w:rPr>
      </w:pPr>
    </w:p>
    <w:p w14:paraId="09FEED27">
      <w:pPr>
        <w:pStyle w:val="17"/>
        <w:rPr>
          <w:rFonts w:hint="eastAsia" w:ascii="宋体" w:hAnsi="宋体"/>
          <w:szCs w:val="21"/>
        </w:rPr>
      </w:pPr>
    </w:p>
    <w:p w14:paraId="4026D9CF">
      <w:pPr>
        <w:spacing w:before="240" w:beforeLines="100"/>
        <w:ind w:left="0" w:leftChars="0" w:firstLine="0" w:firstLineChars="0"/>
        <w:jc w:val="left"/>
        <w:rPr>
          <w:b/>
          <w:bCs/>
          <w:sz w:val="24"/>
          <w:szCs w:val="22"/>
        </w:rPr>
      </w:pPr>
      <w:r>
        <w:rPr>
          <w:rFonts w:hint="eastAsia" w:cs="宋体"/>
          <w:b/>
          <w:bCs/>
          <w:sz w:val="24"/>
          <w:szCs w:val="22"/>
        </w:rPr>
        <w:t>附录</w:t>
      </w:r>
      <w:r>
        <w:rPr>
          <w:rFonts w:hint="eastAsia" w:cs="宋体"/>
          <w:b/>
          <w:bCs/>
          <w:sz w:val="24"/>
          <w:szCs w:val="22"/>
          <w:lang w:val="en-US" w:eastAsia="zh-CN"/>
        </w:rPr>
        <w:t>2</w:t>
      </w:r>
      <w:r>
        <w:rPr>
          <w:rFonts w:hint="eastAsia" w:cs="宋体"/>
          <w:b/>
          <w:bCs/>
          <w:sz w:val="24"/>
          <w:szCs w:val="22"/>
        </w:rPr>
        <w:t>：试验照片：</w:t>
      </w:r>
    </w:p>
    <w:tbl>
      <w:tblPr>
        <w:tblStyle w:val="10"/>
        <w:tblpPr w:leftFromText="180" w:rightFromText="180" w:vertAnchor="text" w:horzAnchor="page" w:tblpX="1865" w:tblpY="309"/>
        <w:tblOverlap w:val="never"/>
        <w:tblW w:w="8400" w:type="dxa"/>
        <w:tblInd w:w="0" w:type="dxa"/>
        <w:tblLayout w:type="autofit"/>
        <w:tblCellMar>
          <w:top w:w="0" w:type="dxa"/>
          <w:left w:w="108" w:type="dxa"/>
          <w:bottom w:w="0" w:type="dxa"/>
          <w:right w:w="108" w:type="dxa"/>
        </w:tblCellMar>
      </w:tblPr>
      <w:tblGrid>
        <w:gridCol w:w="4290"/>
        <w:gridCol w:w="4110"/>
      </w:tblGrid>
      <w:tr w14:paraId="4F94C3C8">
        <w:tblPrEx>
          <w:tblCellMar>
            <w:top w:w="0" w:type="dxa"/>
            <w:left w:w="108" w:type="dxa"/>
            <w:bottom w:w="0" w:type="dxa"/>
            <w:right w:w="108" w:type="dxa"/>
          </w:tblCellMar>
        </w:tblPrEx>
        <w:trPr>
          <w:trHeight w:val="2700" w:hRule="exact"/>
        </w:trPr>
        <w:tc>
          <w:tcPr>
            <w:tcW w:w="4290" w:type="dxa"/>
            <w:vAlign w:val="bottom"/>
          </w:tcPr>
          <w:p w14:paraId="6A8A3687">
            <w:pPr>
              <w:jc w:val="center"/>
              <w:rPr>
                <w:rFonts w:hint="default" w:ascii="Times New Roman" w:hAnsi="Times New Roman" w:eastAsia="宋体" w:cs="Times New Roman"/>
                <w:sz w:val="21"/>
                <w:szCs w:val="21"/>
                <w:highlight w:val="none"/>
                <w:lang w:eastAsia="zh-CN"/>
              </w:rPr>
            </w:pPr>
          </w:p>
        </w:tc>
        <w:tc>
          <w:tcPr>
            <w:tcW w:w="4110" w:type="dxa"/>
            <w:vAlign w:val="bottom"/>
          </w:tcPr>
          <w:p w14:paraId="2F2886BE">
            <w:pPr>
              <w:jc w:val="center"/>
              <w:rPr>
                <w:rFonts w:hint="default" w:ascii="Times New Roman" w:hAnsi="Times New Roman" w:eastAsia="宋体" w:cs="Times New Roman"/>
                <w:sz w:val="21"/>
                <w:szCs w:val="21"/>
                <w:highlight w:val="none"/>
                <w:lang w:eastAsia="zh-CN"/>
              </w:rPr>
            </w:pPr>
          </w:p>
        </w:tc>
      </w:tr>
      <w:tr w14:paraId="025AF6FC">
        <w:tblPrEx>
          <w:tblCellMar>
            <w:top w:w="0" w:type="dxa"/>
            <w:left w:w="108" w:type="dxa"/>
            <w:bottom w:w="0" w:type="dxa"/>
            <w:right w:w="108" w:type="dxa"/>
          </w:tblCellMar>
        </w:tblPrEx>
        <w:trPr>
          <w:trHeight w:val="272" w:hRule="atLeast"/>
        </w:trPr>
        <w:tc>
          <w:tcPr>
            <w:tcW w:w="4290" w:type="dxa"/>
          </w:tcPr>
          <w:p w14:paraId="1AE037F8">
            <w:pPr>
              <w:jc w:val="center"/>
              <w:rPr>
                <w:rFonts w:hint="default" w:ascii="Times New Roman" w:hAnsi="Times New Roman" w:cs="Times New Roman"/>
                <w:sz w:val="21"/>
                <w:szCs w:val="21"/>
                <w:highlight w:val="none"/>
              </w:rPr>
            </w:pPr>
            <w:r>
              <w:rPr>
                <w:rFonts w:hint="eastAsia" w:cs="Times New Roman"/>
                <w:sz w:val="21"/>
                <w:szCs w:val="21"/>
                <w:highlight w:val="none"/>
                <w:lang w:val="en-US" w:eastAsia="zh-CN"/>
              </w:rPr>
              <w:t>样车左</w:t>
            </w:r>
            <w:r>
              <w:rPr>
                <w:rFonts w:hint="default" w:ascii="Times New Roman" w:hAnsi="Times New Roman" w:cs="Times New Roman"/>
                <w:sz w:val="21"/>
                <w:szCs w:val="21"/>
                <w:highlight w:val="none"/>
              </w:rPr>
              <w:t>45度</w:t>
            </w:r>
          </w:p>
        </w:tc>
        <w:tc>
          <w:tcPr>
            <w:tcW w:w="4110" w:type="dxa"/>
          </w:tcPr>
          <w:p w14:paraId="48BF0D7B">
            <w:pPr>
              <w:jc w:val="center"/>
              <w:rPr>
                <w:rFonts w:hint="default" w:ascii="Times New Roman" w:hAnsi="Times New Roman" w:cs="Times New Roman"/>
                <w:sz w:val="21"/>
                <w:szCs w:val="21"/>
                <w:highlight w:val="none"/>
              </w:rPr>
            </w:pPr>
            <w:r>
              <w:rPr>
                <w:rFonts w:hint="eastAsia" w:cs="Times New Roman"/>
                <w:sz w:val="21"/>
                <w:szCs w:val="21"/>
                <w:highlight w:val="none"/>
                <w:lang w:val="en-US" w:eastAsia="zh-CN"/>
              </w:rPr>
              <w:t>样车</w:t>
            </w:r>
            <w:r>
              <w:rPr>
                <w:rFonts w:hint="default" w:ascii="Times New Roman" w:hAnsi="Times New Roman" w:cs="Times New Roman"/>
                <w:sz w:val="21"/>
                <w:szCs w:val="21"/>
                <w:highlight w:val="none"/>
              </w:rPr>
              <w:t>右45度</w:t>
            </w:r>
          </w:p>
        </w:tc>
      </w:tr>
      <w:tr w14:paraId="14C75CED">
        <w:tblPrEx>
          <w:tblCellMar>
            <w:top w:w="0" w:type="dxa"/>
            <w:left w:w="108" w:type="dxa"/>
            <w:bottom w:w="0" w:type="dxa"/>
            <w:right w:w="108" w:type="dxa"/>
          </w:tblCellMar>
        </w:tblPrEx>
        <w:trPr>
          <w:trHeight w:val="2574" w:hRule="exact"/>
        </w:trPr>
        <w:tc>
          <w:tcPr>
            <w:tcW w:w="4290" w:type="dxa"/>
            <w:vAlign w:val="bottom"/>
          </w:tcPr>
          <w:p w14:paraId="2DB496AC">
            <w:pPr>
              <w:jc w:val="center"/>
              <w:rPr>
                <w:rFonts w:hint="default" w:ascii="Times New Roman" w:hAnsi="Times New Roman" w:eastAsia="宋体" w:cs="Times New Roman"/>
                <w:sz w:val="21"/>
                <w:szCs w:val="21"/>
                <w:highlight w:val="none"/>
                <w:lang w:eastAsia="zh-CN"/>
              </w:rPr>
            </w:pPr>
          </w:p>
        </w:tc>
        <w:tc>
          <w:tcPr>
            <w:tcW w:w="4110" w:type="dxa"/>
            <w:vAlign w:val="bottom"/>
          </w:tcPr>
          <w:p w14:paraId="51121EB0">
            <w:pPr>
              <w:jc w:val="center"/>
              <w:rPr>
                <w:rFonts w:hint="default" w:ascii="Times New Roman" w:hAnsi="Times New Roman" w:eastAsia="宋体" w:cs="Times New Roman"/>
                <w:sz w:val="21"/>
                <w:szCs w:val="21"/>
                <w:highlight w:val="none"/>
                <w:lang w:eastAsia="zh-CN"/>
              </w:rPr>
            </w:pPr>
          </w:p>
        </w:tc>
      </w:tr>
      <w:tr w14:paraId="78D64365">
        <w:tblPrEx>
          <w:tblCellMar>
            <w:top w:w="0" w:type="dxa"/>
            <w:left w:w="108" w:type="dxa"/>
            <w:bottom w:w="0" w:type="dxa"/>
            <w:right w:w="108" w:type="dxa"/>
          </w:tblCellMar>
        </w:tblPrEx>
        <w:trPr>
          <w:trHeight w:val="272" w:hRule="atLeast"/>
        </w:trPr>
        <w:tc>
          <w:tcPr>
            <w:tcW w:w="4290" w:type="dxa"/>
            <w:vAlign w:val="top"/>
          </w:tcPr>
          <w:p w14:paraId="14EDF0E3">
            <w:pPr>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样车</w:t>
            </w:r>
            <w:r>
              <w:rPr>
                <w:rFonts w:hint="default" w:ascii="Times New Roman" w:hAnsi="Times New Roman" w:cs="Times New Roman"/>
                <w:bCs/>
                <w:sz w:val="21"/>
                <w:szCs w:val="21"/>
                <w:highlight w:val="none"/>
              </w:rPr>
              <w:t>正</w:t>
            </w:r>
            <w:r>
              <w:rPr>
                <w:rFonts w:hint="eastAsia" w:cs="Times New Roman"/>
                <w:bCs/>
                <w:sz w:val="21"/>
                <w:szCs w:val="21"/>
                <w:highlight w:val="none"/>
                <w:lang w:val="en-US" w:eastAsia="zh-CN"/>
              </w:rPr>
              <w:t>左侧</w:t>
            </w:r>
          </w:p>
        </w:tc>
        <w:tc>
          <w:tcPr>
            <w:tcW w:w="4110" w:type="dxa"/>
            <w:vAlign w:val="top"/>
          </w:tcPr>
          <w:p w14:paraId="649DB878">
            <w:pPr>
              <w:jc w:val="center"/>
              <w:rPr>
                <w:rFonts w:hint="default" w:ascii="Times New Roman" w:hAnsi="Times New Roman" w:cs="Times New Roman"/>
                <w:sz w:val="21"/>
                <w:szCs w:val="21"/>
                <w:highlight w:val="none"/>
              </w:rPr>
            </w:pPr>
            <w:r>
              <w:rPr>
                <w:rFonts w:hint="eastAsia" w:cs="Times New Roman"/>
                <w:sz w:val="21"/>
                <w:szCs w:val="21"/>
                <w:highlight w:val="none"/>
                <w:lang w:val="en-US" w:eastAsia="zh-CN"/>
              </w:rPr>
              <w:t>样车</w:t>
            </w:r>
            <w:r>
              <w:rPr>
                <w:rFonts w:hint="default" w:ascii="Times New Roman" w:hAnsi="Times New Roman" w:cs="Times New Roman"/>
                <w:bCs/>
                <w:sz w:val="21"/>
                <w:szCs w:val="21"/>
                <w:highlight w:val="none"/>
              </w:rPr>
              <w:t>正</w:t>
            </w:r>
            <w:r>
              <w:rPr>
                <w:rFonts w:hint="eastAsia" w:cs="Times New Roman"/>
                <w:bCs/>
                <w:sz w:val="21"/>
                <w:szCs w:val="21"/>
                <w:highlight w:val="none"/>
                <w:lang w:val="en-US" w:eastAsia="zh-CN"/>
              </w:rPr>
              <w:t>右侧</w:t>
            </w:r>
          </w:p>
        </w:tc>
      </w:tr>
      <w:tr w14:paraId="10A3812D">
        <w:tblPrEx>
          <w:tblCellMar>
            <w:top w:w="0" w:type="dxa"/>
            <w:left w:w="108" w:type="dxa"/>
            <w:bottom w:w="0" w:type="dxa"/>
            <w:right w:w="108" w:type="dxa"/>
          </w:tblCellMar>
        </w:tblPrEx>
        <w:trPr>
          <w:trHeight w:val="2587" w:hRule="exact"/>
        </w:trPr>
        <w:tc>
          <w:tcPr>
            <w:tcW w:w="4290" w:type="dxa"/>
            <w:vAlign w:val="bottom"/>
          </w:tcPr>
          <w:p w14:paraId="316E4E3B">
            <w:pPr>
              <w:jc w:val="center"/>
              <w:rPr>
                <w:rFonts w:hint="default" w:ascii="Times New Roman" w:hAnsi="Times New Roman" w:eastAsia="宋体" w:cs="Times New Roman"/>
                <w:sz w:val="21"/>
                <w:szCs w:val="21"/>
                <w:highlight w:val="none"/>
                <w:lang w:eastAsia="zh-CN"/>
              </w:rPr>
            </w:pPr>
          </w:p>
        </w:tc>
        <w:tc>
          <w:tcPr>
            <w:tcW w:w="4110" w:type="dxa"/>
            <w:vAlign w:val="bottom"/>
          </w:tcPr>
          <w:p w14:paraId="2ECC9181">
            <w:pPr>
              <w:jc w:val="center"/>
              <w:rPr>
                <w:rFonts w:hint="default" w:ascii="Times New Roman" w:hAnsi="Times New Roman" w:eastAsia="宋体" w:cs="Times New Roman"/>
                <w:sz w:val="21"/>
                <w:szCs w:val="21"/>
                <w:highlight w:val="none"/>
                <w:lang w:eastAsia="zh-CN"/>
              </w:rPr>
            </w:pPr>
          </w:p>
        </w:tc>
      </w:tr>
      <w:tr w14:paraId="0AF7B56B">
        <w:tblPrEx>
          <w:tblCellMar>
            <w:top w:w="0" w:type="dxa"/>
            <w:left w:w="108" w:type="dxa"/>
            <w:bottom w:w="0" w:type="dxa"/>
            <w:right w:w="108" w:type="dxa"/>
          </w:tblCellMar>
        </w:tblPrEx>
        <w:trPr>
          <w:trHeight w:val="272" w:hRule="atLeast"/>
        </w:trPr>
        <w:tc>
          <w:tcPr>
            <w:tcW w:w="4290" w:type="dxa"/>
            <w:vAlign w:val="top"/>
          </w:tcPr>
          <w:p w14:paraId="584A1BF7">
            <w:pPr>
              <w:jc w:val="center"/>
              <w:rPr>
                <w:rFonts w:hint="default" w:ascii="Times New Roman" w:hAnsi="Times New Roman" w:cs="Times New Roman"/>
                <w:sz w:val="21"/>
                <w:szCs w:val="21"/>
                <w:highlight w:val="none"/>
              </w:rPr>
            </w:pPr>
            <w:r>
              <w:rPr>
                <w:rFonts w:hint="eastAsia" w:cs="Times New Roman"/>
                <w:sz w:val="21"/>
                <w:szCs w:val="21"/>
                <w:highlight w:val="none"/>
                <w:lang w:val="en-US" w:eastAsia="zh-CN"/>
              </w:rPr>
              <w:t>样车</w:t>
            </w:r>
            <w:r>
              <w:rPr>
                <w:rFonts w:hint="default" w:ascii="Times New Roman" w:hAnsi="Times New Roman" w:cs="Times New Roman"/>
                <w:sz w:val="21"/>
                <w:szCs w:val="21"/>
                <w:highlight w:val="none"/>
              </w:rPr>
              <w:t>正后部</w:t>
            </w:r>
          </w:p>
        </w:tc>
        <w:tc>
          <w:tcPr>
            <w:tcW w:w="4110" w:type="dxa"/>
            <w:vAlign w:val="top"/>
          </w:tcPr>
          <w:p w14:paraId="141BA1FF">
            <w:pPr>
              <w:jc w:val="center"/>
              <w:rPr>
                <w:rFonts w:hint="default" w:ascii="Times New Roman" w:hAnsi="Times New Roman" w:cs="Times New Roman"/>
                <w:sz w:val="21"/>
                <w:szCs w:val="21"/>
                <w:highlight w:val="none"/>
              </w:rPr>
            </w:pPr>
          </w:p>
        </w:tc>
      </w:tr>
    </w:tbl>
    <w:p w14:paraId="232B882B">
      <w:pPr>
        <w:spacing w:line="400" w:lineRule="exact"/>
        <w:jc w:val="center"/>
        <w:rPr>
          <w:rFonts w:ascii="宋体" w:hAnsi="宋体"/>
          <w:szCs w:val="21"/>
        </w:rPr>
      </w:pPr>
    </w:p>
    <w:p w14:paraId="1E71C73E">
      <w:pPr>
        <w:spacing w:line="400" w:lineRule="exact"/>
        <w:jc w:val="center"/>
        <w:rPr>
          <w:rFonts w:hint="eastAsia"/>
          <w:color w:val="FF0000"/>
          <w:szCs w:val="21"/>
        </w:rPr>
      </w:pPr>
      <w:r>
        <w:rPr>
          <w:rFonts w:ascii="宋体" w:hAnsi="宋体"/>
          <w:szCs w:val="21"/>
        </w:rPr>
        <w:t>---------------- 以下空白 ----------------</w:t>
      </w:r>
    </w:p>
    <w:sectPr>
      <w:headerReference r:id="rId5" w:type="default"/>
      <w:footerReference r:id="rId6" w:type="default"/>
      <w:pgSz w:w="11906" w:h="16838"/>
      <w:pgMar w:top="737" w:right="1247" w:bottom="624" w:left="1588" w:header="680" w:footer="227" w:gutter="0"/>
      <w:pgNumType w:fmt="decimal" w:start="1"/>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9A8A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FA3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65933">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D531C">
    <w:pPr>
      <w:pBdr>
        <w:bottom w:val="none" w:color="auto" w:sz="0" w:space="0"/>
      </w:pBdr>
      <w:ind w:right="-334" w:rightChars="-159"/>
      <w:rPr>
        <w:rFonts w:hint="default" w:ascii="宋体" w:hAnsi="宋体" w:eastAsia="宋体"/>
        <w:lang w:val="en-US" w:eastAsia="zh-CN"/>
      </w:rPr>
    </w:pPr>
    <w:r>
      <w:rPr>
        <w:rFonts w:hint="eastAsia"/>
        <w:lang w:val="en-US" w:eastAsia="zh-CN"/>
      </w:rPr>
      <w:t>xxxxxxxx</w:t>
    </w:r>
    <w:r>
      <w:rPr>
        <w:rFonts w:hint="eastAsia" w:ascii="宋体" w:hAnsi="宋体"/>
      </w:rPr>
      <w:t xml:space="preserve">                                        </w:t>
    </w:r>
    <w:r>
      <w:rPr>
        <w:rFonts w:hint="eastAsia" w:ascii="宋体" w:hAnsi="宋体"/>
        <w:lang w:val="en-US" w:eastAsia="zh-CN"/>
      </w:rPr>
      <w:t xml:space="preserve">                </w:t>
    </w:r>
    <w:r>
      <w:rPr>
        <w:rFonts w:hint="eastAsia" w:ascii="宋体" w:hAnsi="宋体"/>
      </w:rPr>
      <w:t>报告编号：</w:t>
    </w:r>
    <w:r>
      <w:rPr>
        <w:rFonts w:hint="eastAsia" w:cs="Times New Roman"/>
        <w:szCs w:val="21"/>
        <w:lang w:val="en-US" w:eastAsia="zh-CN"/>
      </w:rPr>
      <w:t>xxxxxxxx</w:t>
    </w:r>
  </w:p>
  <w:p w14:paraId="6A8B4682">
    <w:pPr>
      <w:pBdr>
        <w:bottom w:val="none" w:color="auto" w:sz="0" w:space="0"/>
      </w:pBdr>
      <w:ind w:firstLine="2420" w:firstLineChars="550"/>
      <w:jc w:val="left"/>
      <w:rPr>
        <w:rFonts w:hint="eastAsia" w:ascii="宋体" w:hAnsi="宋体"/>
        <w:sz w:val="44"/>
      </w:rPr>
    </w:pPr>
    <w:r>
      <w:rPr>
        <w:rFonts w:hint="eastAsia" w:ascii="宋体" w:hAnsi="宋体"/>
        <w:sz w:val="44"/>
      </w:rPr>
      <w:t xml:space="preserve">检  验  报  告 </w:t>
    </w:r>
  </w:p>
  <w:p w14:paraId="0286081C">
    <w:pPr>
      <w:keepNext w:val="0"/>
      <w:keepLines w:val="0"/>
      <w:pageBreakBefore w:val="0"/>
      <w:widowControl w:val="0"/>
      <w:pBdr>
        <w:bottom w:val="none" w:color="auto" w:sz="0" w:space="12"/>
      </w:pBdr>
      <w:kinsoku/>
      <w:wordWrap/>
      <w:overflowPunct/>
      <w:topLinePunct w:val="0"/>
      <w:autoSpaceDE/>
      <w:autoSpaceDN/>
      <w:bidi w:val="0"/>
      <w:adjustRightInd/>
      <w:snapToGrid w:val="0"/>
      <w:spacing w:after="0" w:line="240" w:lineRule="atLeast"/>
      <w:ind w:left="0"/>
      <w:textAlignment w:val="auto"/>
      <w:rPr>
        <w:rFonts w:hint="default" w:ascii="宋体" w:hAnsi="宋体"/>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3960D">
                          <w:pPr>
                            <w:keepNext w:val="0"/>
                            <w:keepLines w:val="0"/>
                            <w:pageBreakBefore w:val="0"/>
                            <w:widowControl w:val="0"/>
                            <w:pBdr>
                              <w:bottom w:val="single" w:color="auto" w:sz="12" w:space="12"/>
                            </w:pBdr>
                            <w:kinsoku/>
                            <w:wordWrap/>
                            <w:overflowPunct/>
                            <w:topLinePunct w:val="0"/>
                            <w:autoSpaceDE/>
                            <w:autoSpaceDN/>
                            <w:bidi w:val="0"/>
                            <w:adjustRightInd/>
                            <w:snapToGrid w:val="0"/>
                            <w:spacing w:after="0"/>
                            <w:textAlignment w:val="auto"/>
                          </w:pPr>
                          <w:r>
                            <w:rPr>
                              <w:rFonts w:hint="eastAsia"/>
                              <w:lang w:val="en-US" w:eastAsia="zh-CN"/>
                            </w:rPr>
                            <w:t>xxxxxxxx</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共  </w:t>
                          </w:r>
                          <w:r>
                            <w:rPr>
                              <w:rFonts w:hint="eastAsia" w:ascii="宋体" w:hAnsi="宋体"/>
                            </w:rPr>
                            <w:fldChar w:fldCharType="begin"/>
                          </w:r>
                          <w:r>
                            <w:rPr>
                              <w:rFonts w:hint="eastAsia" w:ascii="宋体" w:hAnsi="宋体"/>
                            </w:rPr>
                            <w:instrText xml:space="preserve"> SECTIONPAGES \* MERGEFORMAT </w:instrText>
                          </w:r>
                          <w:r>
                            <w:rPr>
                              <w:rFonts w:hint="eastAsia" w:ascii="宋体" w:hAnsi="宋体"/>
                            </w:rPr>
                            <w:fldChar w:fldCharType="separate"/>
                          </w:r>
                          <w:r>
                            <w:rPr>
                              <w:rFonts w:hint="eastAsia" w:ascii="宋体" w:hAnsi="宋体"/>
                            </w:rPr>
                            <w:t>2</w:t>
                          </w:r>
                          <w:r>
                            <w:rPr>
                              <w:rFonts w:hint="eastAsia" w:ascii="宋体" w:hAnsi="宋体"/>
                            </w:rPr>
                            <w:fldChar w:fldCharType="end"/>
                          </w:r>
                          <w:r>
                            <w:rPr>
                              <w:rFonts w:hint="eastAsia" w:ascii="宋体" w:hAnsi="宋体"/>
                            </w:rPr>
                            <w:t xml:space="preserve">  页     第  </w:t>
                          </w:r>
                          <w:r>
                            <w:rPr>
                              <w:rFonts w:hint="default" w:ascii="宋体" w:hAnsi="宋体"/>
                            </w:rPr>
                            <w:fldChar w:fldCharType="begin"/>
                          </w:r>
                          <w:r>
                            <w:rPr>
                              <w:rFonts w:hint="default" w:ascii="宋体" w:hAnsi="宋体"/>
                            </w:rPr>
                            <w:instrText xml:space="preserve"> PAGE \* MERGEFORMAT </w:instrText>
                          </w:r>
                          <w:r>
                            <w:rPr>
                              <w:rFonts w:hint="default" w:ascii="宋体" w:hAnsi="宋体"/>
                            </w:rPr>
                            <w:fldChar w:fldCharType="separate"/>
                          </w:r>
                          <w:r>
                            <w:rPr>
                              <w:rFonts w:hint="default" w:ascii="宋体" w:hAnsi="宋体"/>
                            </w:rPr>
                            <w:t>4</w:t>
                          </w:r>
                          <w:r>
                            <w:rPr>
                              <w:rFonts w:hint="default" w:ascii="宋体" w:hAnsi="宋体"/>
                            </w:rPr>
                            <w:fldChar w:fldCharType="end"/>
                          </w:r>
                          <w:r>
                            <w:rPr>
                              <w:rFonts w:hint="eastAsia" w:ascii="宋体" w:hAnsi="宋体"/>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E3960D">
                    <w:pPr>
                      <w:keepNext w:val="0"/>
                      <w:keepLines w:val="0"/>
                      <w:pageBreakBefore w:val="0"/>
                      <w:widowControl w:val="0"/>
                      <w:pBdr>
                        <w:bottom w:val="single" w:color="auto" w:sz="12" w:space="12"/>
                      </w:pBdr>
                      <w:kinsoku/>
                      <w:wordWrap/>
                      <w:overflowPunct/>
                      <w:topLinePunct w:val="0"/>
                      <w:autoSpaceDE/>
                      <w:autoSpaceDN/>
                      <w:bidi w:val="0"/>
                      <w:adjustRightInd/>
                      <w:snapToGrid w:val="0"/>
                      <w:spacing w:after="0"/>
                      <w:textAlignment w:val="auto"/>
                    </w:pPr>
                    <w:r>
                      <w:rPr>
                        <w:rFonts w:hint="eastAsia"/>
                        <w:lang w:val="en-US" w:eastAsia="zh-CN"/>
                      </w:rPr>
                      <w:t>xxxxxxxx</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共  </w:t>
                    </w:r>
                    <w:r>
                      <w:rPr>
                        <w:rFonts w:hint="eastAsia" w:ascii="宋体" w:hAnsi="宋体"/>
                      </w:rPr>
                      <w:fldChar w:fldCharType="begin"/>
                    </w:r>
                    <w:r>
                      <w:rPr>
                        <w:rFonts w:hint="eastAsia" w:ascii="宋体" w:hAnsi="宋体"/>
                      </w:rPr>
                      <w:instrText xml:space="preserve"> SECTIONPAGES \* MERGEFORMAT </w:instrText>
                    </w:r>
                    <w:r>
                      <w:rPr>
                        <w:rFonts w:hint="eastAsia" w:ascii="宋体" w:hAnsi="宋体"/>
                      </w:rPr>
                      <w:fldChar w:fldCharType="separate"/>
                    </w:r>
                    <w:r>
                      <w:rPr>
                        <w:rFonts w:hint="eastAsia" w:ascii="宋体" w:hAnsi="宋体"/>
                      </w:rPr>
                      <w:t>2</w:t>
                    </w:r>
                    <w:r>
                      <w:rPr>
                        <w:rFonts w:hint="eastAsia" w:ascii="宋体" w:hAnsi="宋体"/>
                      </w:rPr>
                      <w:fldChar w:fldCharType="end"/>
                    </w:r>
                    <w:r>
                      <w:rPr>
                        <w:rFonts w:hint="eastAsia" w:ascii="宋体" w:hAnsi="宋体"/>
                      </w:rPr>
                      <w:t xml:space="preserve">  页     第  </w:t>
                    </w:r>
                    <w:r>
                      <w:rPr>
                        <w:rFonts w:hint="default" w:ascii="宋体" w:hAnsi="宋体"/>
                      </w:rPr>
                      <w:fldChar w:fldCharType="begin"/>
                    </w:r>
                    <w:r>
                      <w:rPr>
                        <w:rFonts w:hint="default" w:ascii="宋体" w:hAnsi="宋体"/>
                      </w:rPr>
                      <w:instrText xml:space="preserve"> PAGE \* MERGEFORMAT </w:instrText>
                    </w:r>
                    <w:r>
                      <w:rPr>
                        <w:rFonts w:hint="default" w:ascii="宋体" w:hAnsi="宋体"/>
                      </w:rPr>
                      <w:fldChar w:fldCharType="separate"/>
                    </w:r>
                    <w:r>
                      <w:rPr>
                        <w:rFonts w:hint="default" w:ascii="宋体" w:hAnsi="宋体"/>
                      </w:rPr>
                      <w:t>4</w:t>
                    </w:r>
                    <w:r>
                      <w:rPr>
                        <w:rFonts w:hint="default" w:ascii="宋体" w:hAnsi="宋体"/>
                      </w:rPr>
                      <w:fldChar w:fldCharType="end"/>
                    </w:r>
                    <w:r>
                      <w:rPr>
                        <w:rFonts w:hint="eastAsia" w:ascii="宋体" w:hAnsi="宋体"/>
                      </w:rPr>
                      <w:t xml:space="preserve">  页</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02B61"/>
    <w:multiLevelType w:val="singleLevel"/>
    <w:tmpl w:val="9AB02B61"/>
    <w:lvl w:ilvl="0" w:tentative="0">
      <w:start w:val="1"/>
      <w:numFmt w:val="chineseCounting"/>
      <w:suff w:val="nothing"/>
      <w:lvlText w:val="%1、"/>
      <w:lvlJc w:val="left"/>
      <w:rPr>
        <w:rFonts w:hint="eastAsia"/>
      </w:rPr>
    </w:lvl>
  </w:abstractNum>
  <w:abstractNum w:abstractNumId="1">
    <w:nsid w:val="44C50F90"/>
    <w:multiLevelType w:val="multilevel"/>
    <w:tmpl w:val="44C50F90"/>
    <w:lvl w:ilvl="0" w:tentative="0">
      <w:start w:val="1"/>
      <w:numFmt w:val="lowerLetter"/>
      <w:pStyle w:val="2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57D3FBC"/>
    <w:multiLevelType w:val="multilevel"/>
    <w:tmpl w:val="657D3FBC"/>
    <w:lvl w:ilvl="0" w:tentative="0">
      <w:start w:val="1"/>
      <w:numFmt w:val="upperLetter"/>
      <w:suff w:val="nothing"/>
      <w:lvlText w:val="附录%1"/>
      <w:lvlJc w:val="left"/>
      <w:pPr>
        <w:ind w:left="3260" w:firstLine="0"/>
      </w:pPr>
      <w:rPr>
        <w:rFonts w:hint="eastAsia"/>
        <w:spacing w:val="100"/>
      </w:rPr>
    </w:lvl>
    <w:lvl w:ilvl="1" w:tentative="0">
      <w:start w:val="1"/>
      <w:numFmt w:val="decimal"/>
      <w:pStyle w:val="26"/>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1418"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8"/>
      <w:suff w:val="nothing"/>
      <w:lvlText w:val="%1%2　"/>
      <w:lvlJc w:val="left"/>
      <w:pPr>
        <w:ind w:left="0" w:firstLine="0"/>
      </w:pPr>
      <w:rPr>
        <w:rFonts w:hint="eastAsia" w:ascii="黑体" w:eastAsia="黑体"/>
        <w:b w:val="0"/>
        <w:i w:val="0"/>
        <w:sz w:val="21"/>
      </w:rPr>
    </w:lvl>
    <w:lvl w:ilvl="2" w:tentative="0">
      <w:start w:val="1"/>
      <w:numFmt w:val="decimal"/>
      <w:pStyle w:val="2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0"/>
      <w:suff w:val="nothing"/>
      <w:lvlText w:val="%1%2.%3.%4　"/>
      <w:lvlJc w:val="left"/>
      <w:pPr>
        <w:ind w:left="1843" w:firstLine="0"/>
      </w:pPr>
      <w:rPr>
        <w:rFonts w:hint="eastAsia" w:ascii="黑体" w:eastAsia="黑体"/>
        <w:b w:val="0"/>
        <w:i w:val="0"/>
        <w:sz w:val="21"/>
      </w:rPr>
    </w:lvl>
    <w:lvl w:ilvl="4" w:tentative="0">
      <w:start w:val="1"/>
      <w:numFmt w:val="decimal"/>
      <w:pStyle w:val="23"/>
      <w:suff w:val="nothing"/>
      <w:lvlText w:val="%1%2.%3.%4.%5　"/>
      <w:lvlJc w:val="left"/>
      <w:pPr>
        <w:ind w:left="5528"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285"/>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511"/>
    <w:rsid w:val="00007BEC"/>
    <w:rsid w:val="000211D9"/>
    <w:rsid w:val="00022FCC"/>
    <w:rsid w:val="00030AC3"/>
    <w:rsid w:val="00035A4B"/>
    <w:rsid w:val="000368ED"/>
    <w:rsid w:val="00044A33"/>
    <w:rsid w:val="00050313"/>
    <w:rsid w:val="000507DF"/>
    <w:rsid w:val="00052416"/>
    <w:rsid w:val="0005655D"/>
    <w:rsid w:val="00056EF1"/>
    <w:rsid w:val="00065666"/>
    <w:rsid w:val="00065D50"/>
    <w:rsid w:val="000959B8"/>
    <w:rsid w:val="000B4419"/>
    <w:rsid w:val="000C246D"/>
    <w:rsid w:val="000C4313"/>
    <w:rsid w:val="000E041B"/>
    <w:rsid w:val="000E4CBE"/>
    <w:rsid w:val="000E62EC"/>
    <w:rsid w:val="000F48F4"/>
    <w:rsid w:val="000F5A32"/>
    <w:rsid w:val="00102971"/>
    <w:rsid w:val="001035C4"/>
    <w:rsid w:val="00105E9A"/>
    <w:rsid w:val="001061AC"/>
    <w:rsid w:val="001079D8"/>
    <w:rsid w:val="00115C19"/>
    <w:rsid w:val="00125E51"/>
    <w:rsid w:val="00134922"/>
    <w:rsid w:val="00150344"/>
    <w:rsid w:val="0015385D"/>
    <w:rsid w:val="00163970"/>
    <w:rsid w:val="00172A10"/>
    <w:rsid w:val="001771AF"/>
    <w:rsid w:val="001827A9"/>
    <w:rsid w:val="0019093C"/>
    <w:rsid w:val="00192096"/>
    <w:rsid w:val="00193393"/>
    <w:rsid w:val="00196B03"/>
    <w:rsid w:val="001B204F"/>
    <w:rsid w:val="001B7D6F"/>
    <w:rsid w:val="001C4020"/>
    <w:rsid w:val="001C7790"/>
    <w:rsid w:val="001F75B3"/>
    <w:rsid w:val="002012C6"/>
    <w:rsid w:val="00202965"/>
    <w:rsid w:val="002039E8"/>
    <w:rsid w:val="0020756F"/>
    <w:rsid w:val="002118A5"/>
    <w:rsid w:val="002137C0"/>
    <w:rsid w:val="0022185E"/>
    <w:rsid w:val="002253E3"/>
    <w:rsid w:val="00246111"/>
    <w:rsid w:val="0028109C"/>
    <w:rsid w:val="00290187"/>
    <w:rsid w:val="00291055"/>
    <w:rsid w:val="002C14BD"/>
    <w:rsid w:val="002C24E2"/>
    <w:rsid w:val="002C449C"/>
    <w:rsid w:val="002E41A3"/>
    <w:rsid w:val="002F0AD9"/>
    <w:rsid w:val="002F4CC8"/>
    <w:rsid w:val="003016CC"/>
    <w:rsid w:val="00307905"/>
    <w:rsid w:val="00312307"/>
    <w:rsid w:val="00315308"/>
    <w:rsid w:val="00317F4A"/>
    <w:rsid w:val="00323FC4"/>
    <w:rsid w:val="003273B0"/>
    <w:rsid w:val="00332B83"/>
    <w:rsid w:val="00346F26"/>
    <w:rsid w:val="00351E87"/>
    <w:rsid w:val="003544DF"/>
    <w:rsid w:val="003578E3"/>
    <w:rsid w:val="003611F9"/>
    <w:rsid w:val="00372590"/>
    <w:rsid w:val="00394BD3"/>
    <w:rsid w:val="00396AB6"/>
    <w:rsid w:val="003A2E3E"/>
    <w:rsid w:val="003A5E8D"/>
    <w:rsid w:val="003A6116"/>
    <w:rsid w:val="003B5E32"/>
    <w:rsid w:val="003C13E5"/>
    <w:rsid w:val="003C2585"/>
    <w:rsid w:val="003D6856"/>
    <w:rsid w:val="003F47AC"/>
    <w:rsid w:val="003F77C4"/>
    <w:rsid w:val="004006D1"/>
    <w:rsid w:val="00404688"/>
    <w:rsid w:val="004073DD"/>
    <w:rsid w:val="00414CA6"/>
    <w:rsid w:val="0042783D"/>
    <w:rsid w:val="00432528"/>
    <w:rsid w:val="0044064B"/>
    <w:rsid w:val="00442DD0"/>
    <w:rsid w:val="004432FC"/>
    <w:rsid w:val="004438AF"/>
    <w:rsid w:val="00446752"/>
    <w:rsid w:val="00455ADA"/>
    <w:rsid w:val="00465B1C"/>
    <w:rsid w:val="00482E22"/>
    <w:rsid w:val="0049204A"/>
    <w:rsid w:val="00493414"/>
    <w:rsid w:val="004A7C57"/>
    <w:rsid w:val="004C67B1"/>
    <w:rsid w:val="004D0BF4"/>
    <w:rsid w:val="004E46C7"/>
    <w:rsid w:val="004F7DC2"/>
    <w:rsid w:val="005034DD"/>
    <w:rsid w:val="00514822"/>
    <w:rsid w:val="00531515"/>
    <w:rsid w:val="00531DF1"/>
    <w:rsid w:val="005334C3"/>
    <w:rsid w:val="00537954"/>
    <w:rsid w:val="00545FEF"/>
    <w:rsid w:val="00552810"/>
    <w:rsid w:val="00552D30"/>
    <w:rsid w:val="005777A7"/>
    <w:rsid w:val="00581486"/>
    <w:rsid w:val="0059529D"/>
    <w:rsid w:val="005C34A3"/>
    <w:rsid w:val="005C45AC"/>
    <w:rsid w:val="005C7B69"/>
    <w:rsid w:val="005D1F59"/>
    <w:rsid w:val="005D3931"/>
    <w:rsid w:val="005F0E54"/>
    <w:rsid w:val="005F556B"/>
    <w:rsid w:val="0061175D"/>
    <w:rsid w:val="00611BD1"/>
    <w:rsid w:val="00625212"/>
    <w:rsid w:val="006325D1"/>
    <w:rsid w:val="00655211"/>
    <w:rsid w:val="00676162"/>
    <w:rsid w:val="006807CE"/>
    <w:rsid w:val="00694960"/>
    <w:rsid w:val="006A547E"/>
    <w:rsid w:val="006B3B41"/>
    <w:rsid w:val="006B5259"/>
    <w:rsid w:val="006B732E"/>
    <w:rsid w:val="006B78A3"/>
    <w:rsid w:val="006C30A1"/>
    <w:rsid w:val="006C78DC"/>
    <w:rsid w:val="006D1CCC"/>
    <w:rsid w:val="006D244B"/>
    <w:rsid w:val="006E0A7F"/>
    <w:rsid w:val="006E2111"/>
    <w:rsid w:val="006F181A"/>
    <w:rsid w:val="00705163"/>
    <w:rsid w:val="00707350"/>
    <w:rsid w:val="00713B10"/>
    <w:rsid w:val="0073201C"/>
    <w:rsid w:val="00733444"/>
    <w:rsid w:val="00733EE3"/>
    <w:rsid w:val="00744514"/>
    <w:rsid w:val="00765F85"/>
    <w:rsid w:val="007663BC"/>
    <w:rsid w:val="007721DE"/>
    <w:rsid w:val="0077593C"/>
    <w:rsid w:val="00782CB4"/>
    <w:rsid w:val="00783720"/>
    <w:rsid w:val="00784ADA"/>
    <w:rsid w:val="007C724B"/>
    <w:rsid w:val="007D4FAC"/>
    <w:rsid w:val="00810FD8"/>
    <w:rsid w:val="00816233"/>
    <w:rsid w:val="00817B38"/>
    <w:rsid w:val="008240A5"/>
    <w:rsid w:val="00825514"/>
    <w:rsid w:val="00831B15"/>
    <w:rsid w:val="00833FC0"/>
    <w:rsid w:val="00840BF4"/>
    <w:rsid w:val="00844329"/>
    <w:rsid w:val="00845D39"/>
    <w:rsid w:val="008466E3"/>
    <w:rsid w:val="008558E1"/>
    <w:rsid w:val="0088118D"/>
    <w:rsid w:val="00881C99"/>
    <w:rsid w:val="00891579"/>
    <w:rsid w:val="00893D64"/>
    <w:rsid w:val="008D2248"/>
    <w:rsid w:val="008E13F7"/>
    <w:rsid w:val="008E5379"/>
    <w:rsid w:val="008E6C85"/>
    <w:rsid w:val="008F0FFB"/>
    <w:rsid w:val="008F1C7C"/>
    <w:rsid w:val="008F5EE2"/>
    <w:rsid w:val="009042AC"/>
    <w:rsid w:val="00904DCB"/>
    <w:rsid w:val="00932363"/>
    <w:rsid w:val="00933C10"/>
    <w:rsid w:val="0093747C"/>
    <w:rsid w:val="00951CB6"/>
    <w:rsid w:val="00981109"/>
    <w:rsid w:val="00983E09"/>
    <w:rsid w:val="00984F50"/>
    <w:rsid w:val="00995B72"/>
    <w:rsid w:val="009A401E"/>
    <w:rsid w:val="009A6A4F"/>
    <w:rsid w:val="009C4FE4"/>
    <w:rsid w:val="009C5B35"/>
    <w:rsid w:val="009C7E6B"/>
    <w:rsid w:val="009D233E"/>
    <w:rsid w:val="009D4ACC"/>
    <w:rsid w:val="009D61D7"/>
    <w:rsid w:val="009D7CCE"/>
    <w:rsid w:val="009E5FFE"/>
    <w:rsid w:val="009F769D"/>
    <w:rsid w:val="00A02B02"/>
    <w:rsid w:val="00A140DA"/>
    <w:rsid w:val="00A25D57"/>
    <w:rsid w:val="00A3120A"/>
    <w:rsid w:val="00A3293A"/>
    <w:rsid w:val="00A32D81"/>
    <w:rsid w:val="00A401F8"/>
    <w:rsid w:val="00A5677F"/>
    <w:rsid w:val="00A56FAC"/>
    <w:rsid w:val="00A758A3"/>
    <w:rsid w:val="00A847CC"/>
    <w:rsid w:val="00A85735"/>
    <w:rsid w:val="00A8655C"/>
    <w:rsid w:val="00A90296"/>
    <w:rsid w:val="00A944EE"/>
    <w:rsid w:val="00A97E03"/>
    <w:rsid w:val="00AA4160"/>
    <w:rsid w:val="00AA51E4"/>
    <w:rsid w:val="00AA7C3F"/>
    <w:rsid w:val="00AB6BD1"/>
    <w:rsid w:val="00AC58B6"/>
    <w:rsid w:val="00AD4BC9"/>
    <w:rsid w:val="00AE1C06"/>
    <w:rsid w:val="00AE54BE"/>
    <w:rsid w:val="00B03BD5"/>
    <w:rsid w:val="00B05566"/>
    <w:rsid w:val="00B1348E"/>
    <w:rsid w:val="00B377DA"/>
    <w:rsid w:val="00B51477"/>
    <w:rsid w:val="00B519CE"/>
    <w:rsid w:val="00B60011"/>
    <w:rsid w:val="00B62169"/>
    <w:rsid w:val="00B72390"/>
    <w:rsid w:val="00B72C62"/>
    <w:rsid w:val="00B75C5D"/>
    <w:rsid w:val="00B76C85"/>
    <w:rsid w:val="00B7733A"/>
    <w:rsid w:val="00B77474"/>
    <w:rsid w:val="00B821C3"/>
    <w:rsid w:val="00B93EA2"/>
    <w:rsid w:val="00B953BF"/>
    <w:rsid w:val="00BA1CE7"/>
    <w:rsid w:val="00BA70F5"/>
    <w:rsid w:val="00BB183F"/>
    <w:rsid w:val="00BB293C"/>
    <w:rsid w:val="00BC64EC"/>
    <w:rsid w:val="00BD4808"/>
    <w:rsid w:val="00BF6D3B"/>
    <w:rsid w:val="00C00E34"/>
    <w:rsid w:val="00C02BBF"/>
    <w:rsid w:val="00C06B14"/>
    <w:rsid w:val="00C07A05"/>
    <w:rsid w:val="00C136FE"/>
    <w:rsid w:val="00C172F2"/>
    <w:rsid w:val="00C17C7D"/>
    <w:rsid w:val="00C34E35"/>
    <w:rsid w:val="00C35568"/>
    <w:rsid w:val="00C3686C"/>
    <w:rsid w:val="00C436AD"/>
    <w:rsid w:val="00C56703"/>
    <w:rsid w:val="00C64FD5"/>
    <w:rsid w:val="00C753F3"/>
    <w:rsid w:val="00C75511"/>
    <w:rsid w:val="00C773F3"/>
    <w:rsid w:val="00C90475"/>
    <w:rsid w:val="00C93CAD"/>
    <w:rsid w:val="00CA2CE0"/>
    <w:rsid w:val="00CD3F8E"/>
    <w:rsid w:val="00CE3A3F"/>
    <w:rsid w:val="00CE683E"/>
    <w:rsid w:val="00CF1D4C"/>
    <w:rsid w:val="00CF4502"/>
    <w:rsid w:val="00CF4F9F"/>
    <w:rsid w:val="00CF7542"/>
    <w:rsid w:val="00CF796C"/>
    <w:rsid w:val="00D02B3C"/>
    <w:rsid w:val="00D13EDA"/>
    <w:rsid w:val="00D14C2E"/>
    <w:rsid w:val="00D34C90"/>
    <w:rsid w:val="00D5094E"/>
    <w:rsid w:val="00D56548"/>
    <w:rsid w:val="00D741FE"/>
    <w:rsid w:val="00D77E90"/>
    <w:rsid w:val="00D80FB0"/>
    <w:rsid w:val="00D865D9"/>
    <w:rsid w:val="00DB0EE4"/>
    <w:rsid w:val="00DB5588"/>
    <w:rsid w:val="00DB6194"/>
    <w:rsid w:val="00DC73F6"/>
    <w:rsid w:val="00DE602C"/>
    <w:rsid w:val="00DE7DCE"/>
    <w:rsid w:val="00E10E76"/>
    <w:rsid w:val="00E13B70"/>
    <w:rsid w:val="00E174AC"/>
    <w:rsid w:val="00E2076E"/>
    <w:rsid w:val="00E34FD2"/>
    <w:rsid w:val="00E4527C"/>
    <w:rsid w:val="00E52BC1"/>
    <w:rsid w:val="00E70978"/>
    <w:rsid w:val="00E71F0B"/>
    <w:rsid w:val="00E81E9C"/>
    <w:rsid w:val="00E83150"/>
    <w:rsid w:val="00E85757"/>
    <w:rsid w:val="00E91A5B"/>
    <w:rsid w:val="00E979DB"/>
    <w:rsid w:val="00EA2E23"/>
    <w:rsid w:val="00EA6C9D"/>
    <w:rsid w:val="00EB1EF4"/>
    <w:rsid w:val="00EC0685"/>
    <w:rsid w:val="00EC57F0"/>
    <w:rsid w:val="00EE5DF5"/>
    <w:rsid w:val="00EF0700"/>
    <w:rsid w:val="00EF0C55"/>
    <w:rsid w:val="00EF50C8"/>
    <w:rsid w:val="00EF79E9"/>
    <w:rsid w:val="00F1089B"/>
    <w:rsid w:val="00F229BA"/>
    <w:rsid w:val="00F23146"/>
    <w:rsid w:val="00F6120A"/>
    <w:rsid w:val="00F651CF"/>
    <w:rsid w:val="00F87BDD"/>
    <w:rsid w:val="00F929F9"/>
    <w:rsid w:val="00FB4019"/>
    <w:rsid w:val="00FB4A34"/>
    <w:rsid w:val="00FB68BF"/>
    <w:rsid w:val="00FB75E0"/>
    <w:rsid w:val="00FD0158"/>
    <w:rsid w:val="00FE18F0"/>
    <w:rsid w:val="00FE797E"/>
    <w:rsid w:val="00FF1196"/>
    <w:rsid w:val="00FF25A3"/>
    <w:rsid w:val="00FF5C68"/>
    <w:rsid w:val="01EC6D8B"/>
    <w:rsid w:val="03403B55"/>
    <w:rsid w:val="03763AF1"/>
    <w:rsid w:val="04966070"/>
    <w:rsid w:val="04B50046"/>
    <w:rsid w:val="05EB3466"/>
    <w:rsid w:val="06A967F3"/>
    <w:rsid w:val="099224C2"/>
    <w:rsid w:val="09C52D07"/>
    <w:rsid w:val="09E65669"/>
    <w:rsid w:val="0A745DD8"/>
    <w:rsid w:val="0B890EFB"/>
    <w:rsid w:val="0BAB7478"/>
    <w:rsid w:val="0CD74D32"/>
    <w:rsid w:val="0D5604DD"/>
    <w:rsid w:val="0E7B0752"/>
    <w:rsid w:val="0EA004DC"/>
    <w:rsid w:val="0F410F09"/>
    <w:rsid w:val="0FFD6CAD"/>
    <w:rsid w:val="108D2CE2"/>
    <w:rsid w:val="12297979"/>
    <w:rsid w:val="14014501"/>
    <w:rsid w:val="14A0469F"/>
    <w:rsid w:val="15265080"/>
    <w:rsid w:val="15514E68"/>
    <w:rsid w:val="168949C1"/>
    <w:rsid w:val="16DE1BA1"/>
    <w:rsid w:val="17C27715"/>
    <w:rsid w:val="1968191C"/>
    <w:rsid w:val="1A841ED8"/>
    <w:rsid w:val="1A9B4334"/>
    <w:rsid w:val="1BE15EF7"/>
    <w:rsid w:val="1D37200B"/>
    <w:rsid w:val="1E242353"/>
    <w:rsid w:val="1E401BAF"/>
    <w:rsid w:val="20A72819"/>
    <w:rsid w:val="21FB09C1"/>
    <w:rsid w:val="2221530B"/>
    <w:rsid w:val="22737003"/>
    <w:rsid w:val="236E69A3"/>
    <w:rsid w:val="238319E3"/>
    <w:rsid w:val="29121B7F"/>
    <w:rsid w:val="29A45088"/>
    <w:rsid w:val="29FE674D"/>
    <w:rsid w:val="2ABC0368"/>
    <w:rsid w:val="2BFD6E9C"/>
    <w:rsid w:val="2C4B363D"/>
    <w:rsid w:val="2C802AAD"/>
    <w:rsid w:val="2D4D255F"/>
    <w:rsid w:val="2DDD09AD"/>
    <w:rsid w:val="2E2E39E8"/>
    <w:rsid w:val="32FE14AC"/>
    <w:rsid w:val="33620F1F"/>
    <w:rsid w:val="339D2C92"/>
    <w:rsid w:val="3403316D"/>
    <w:rsid w:val="3447048A"/>
    <w:rsid w:val="348F6779"/>
    <w:rsid w:val="373018F4"/>
    <w:rsid w:val="37913AC5"/>
    <w:rsid w:val="39F0248B"/>
    <w:rsid w:val="3A402735"/>
    <w:rsid w:val="3A8102FB"/>
    <w:rsid w:val="3BDD601C"/>
    <w:rsid w:val="3C7D3C00"/>
    <w:rsid w:val="3C8A79EA"/>
    <w:rsid w:val="3D01329A"/>
    <w:rsid w:val="3D4F3C81"/>
    <w:rsid w:val="3DF94E06"/>
    <w:rsid w:val="3E7D1ECC"/>
    <w:rsid w:val="3E99447C"/>
    <w:rsid w:val="3F3E6C76"/>
    <w:rsid w:val="400718BA"/>
    <w:rsid w:val="43FC6F15"/>
    <w:rsid w:val="44387CBD"/>
    <w:rsid w:val="461D1214"/>
    <w:rsid w:val="46D15143"/>
    <w:rsid w:val="48EC5AF0"/>
    <w:rsid w:val="4A315EB1"/>
    <w:rsid w:val="4B6379C4"/>
    <w:rsid w:val="4B9F645D"/>
    <w:rsid w:val="4C9B3AB5"/>
    <w:rsid w:val="4CB074DF"/>
    <w:rsid w:val="4E4940A8"/>
    <w:rsid w:val="4F173B5A"/>
    <w:rsid w:val="4FED442E"/>
    <w:rsid w:val="502C3CF2"/>
    <w:rsid w:val="50372865"/>
    <w:rsid w:val="5108504F"/>
    <w:rsid w:val="543D122A"/>
    <w:rsid w:val="54D10872"/>
    <w:rsid w:val="56440D1A"/>
    <w:rsid w:val="56A7648C"/>
    <w:rsid w:val="572B3928"/>
    <w:rsid w:val="59EF5F99"/>
    <w:rsid w:val="5A3A4D9C"/>
    <w:rsid w:val="5BCD355F"/>
    <w:rsid w:val="5FEF7F48"/>
    <w:rsid w:val="652253B8"/>
    <w:rsid w:val="65980911"/>
    <w:rsid w:val="66CA3944"/>
    <w:rsid w:val="67261D48"/>
    <w:rsid w:val="67902011"/>
    <w:rsid w:val="69831701"/>
    <w:rsid w:val="6A426481"/>
    <w:rsid w:val="6A545756"/>
    <w:rsid w:val="6B260580"/>
    <w:rsid w:val="6BBB6A30"/>
    <w:rsid w:val="6C2A7B4F"/>
    <w:rsid w:val="6C5E45F5"/>
    <w:rsid w:val="6C613DA8"/>
    <w:rsid w:val="707B6E11"/>
    <w:rsid w:val="70EC72C0"/>
    <w:rsid w:val="70FB7171"/>
    <w:rsid w:val="70FC09ED"/>
    <w:rsid w:val="714E7342"/>
    <w:rsid w:val="718A5556"/>
    <w:rsid w:val="72435CB8"/>
    <w:rsid w:val="74576B94"/>
    <w:rsid w:val="74CC7891"/>
    <w:rsid w:val="75D0109A"/>
    <w:rsid w:val="75F96FD3"/>
    <w:rsid w:val="77D337A8"/>
    <w:rsid w:val="7A504754"/>
    <w:rsid w:val="7B9775A2"/>
    <w:rsid w:val="7C013085"/>
    <w:rsid w:val="7D217172"/>
    <w:rsid w:val="7D5065C8"/>
    <w:rsid w:val="7EFF3C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3"/>
    <w:qFormat/>
    <w:uiPriority w:val="0"/>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Salutation"/>
    <w:basedOn w:val="1"/>
    <w:next w:val="1"/>
    <w:qFormat/>
    <w:uiPriority w:val="99"/>
  </w:style>
  <w:style w:type="paragraph" w:styleId="5">
    <w:name w:val="Body Text"/>
    <w:basedOn w:val="1"/>
    <w:qFormat/>
    <w:uiPriority w:val="0"/>
    <w:pPr>
      <w:spacing w:line="300" w:lineRule="auto"/>
      <w:jc w:val="center"/>
    </w:pPr>
    <w:rPr>
      <w:rFonts w:ascii="宋体"/>
    </w:rPr>
  </w:style>
  <w:style w:type="paragraph" w:styleId="6">
    <w:name w:val="Balloon Text"/>
    <w:basedOn w:val="1"/>
    <w:link w:val="14"/>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adjustRightInd w:val="0"/>
      <w:spacing w:line="240" w:lineRule="atLeast"/>
      <w:jc w:val="center"/>
      <w:textAlignment w:val="baseline"/>
    </w:pPr>
    <w:rPr>
      <w:kern w:val="0"/>
      <w:sz w:val="18"/>
    </w:rPr>
  </w:style>
  <w:style w:type="paragraph" w:styleId="9">
    <w:name w:val="Body Text First Indent"/>
    <w:basedOn w:val="5"/>
    <w:unhideWhenUsed/>
    <w:qFormat/>
    <w:uiPriority w:val="99"/>
    <w:pPr>
      <w:ind w:firstLine="420" w:firstLineChars="1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2"/>
    <w:qFormat/>
    <w:uiPriority w:val="0"/>
    <w:rPr>
      <w:rFonts w:eastAsia="宋体"/>
      <w:b/>
      <w:bCs/>
      <w:kern w:val="2"/>
      <w:sz w:val="32"/>
      <w:szCs w:val="32"/>
      <w:lang w:val="en-US" w:eastAsia="zh-CN" w:bidi="ar-SA"/>
    </w:rPr>
  </w:style>
  <w:style w:type="character" w:customStyle="1" w:styleId="14">
    <w:name w:val="批注框文本 字符"/>
    <w:link w:val="6"/>
    <w:qFormat/>
    <w:uiPriority w:val="0"/>
    <w:rPr>
      <w:kern w:val="2"/>
      <w:sz w:val="18"/>
      <w:szCs w:val="18"/>
    </w:rPr>
  </w:style>
  <w:style w:type="paragraph" w:customStyle="1" w:styleId="15">
    <w:name w:val="Normal"/>
    <w:qFormat/>
    <w:uiPriority w:val="0"/>
    <w:pPr>
      <w:widowControl w:val="0"/>
      <w:adjustRightInd w:val="0"/>
      <w:spacing w:line="0" w:lineRule="atLeast"/>
      <w:textAlignment w:val="baseline"/>
    </w:pPr>
    <w:rPr>
      <w:rFonts w:ascii="宋体" w:hAnsi="Times New Roman" w:eastAsia="宋体" w:cs="Times New Roman"/>
      <w:sz w:val="34"/>
      <w:lang w:val="en-US" w:eastAsia="zh-CN" w:bidi="ar-SA"/>
    </w:rPr>
  </w:style>
  <w:style w:type="paragraph" w:customStyle="1" w:styleId="16">
    <w:name w:val="Char Char Char"/>
    <w:basedOn w:val="1"/>
    <w:qFormat/>
    <w:uiPriority w:val="0"/>
    <w:pPr>
      <w:adjustRightInd w:val="0"/>
      <w:spacing w:line="360" w:lineRule="auto"/>
    </w:pPr>
    <w:rPr>
      <w:kern w:val="0"/>
      <w:sz w:val="24"/>
    </w:rPr>
  </w:style>
  <w:style w:type="paragraph" w:customStyle="1" w:styleId="17">
    <w:name w:val="标准"/>
    <w:basedOn w:val="1"/>
    <w:qFormat/>
    <w:uiPriority w:val="0"/>
    <w:pPr>
      <w:autoSpaceDE w:val="0"/>
      <w:autoSpaceDN w:val="0"/>
      <w:adjustRightInd w:val="0"/>
      <w:spacing w:line="312" w:lineRule="atLeast"/>
      <w:textAlignment w:val="baseline"/>
    </w:pPr>
    <w:rPr>
      <w:kern w:val="0"/>
    </w:rPr>
  </w:style>
  <w:style w:type="paragraph" w:customStyle="1" w:styleId="18">
    <w:name w:val="Table Paragraph"/>
    <w:basedOn w:val="1"/>
    <w:qFormat/>
    <w:uiPriority w:val="0"/>
  </w:style>
  <w:style w:type="paragraph" w:customStyle="1" w:styleId="19">
    <w:name w:val="标准文件_二级无标题"/>
    <w:basedOn w:val="20"/>
    <w:qFormat/>
    <w:uiPriority w:val="0"/>
    <w:pPr>
      <w:spacing w:before="0" w:beforeLines="0" w:after="0" w:afterLines="0"/>
      <w:outlineLvl w:val="9"/>
    </w:pPr>
    <w:rPr>
      <w:rFonts w:ascii="宋体" w:eastAsia="宋体"/>
    </w:rPr>
  </w:style>
  <w:style w:type="paragraph" w:customStyle="1" w:styleId="20">
    <w:name w:val="标准文件_二级条标题"/>
    <w:next w:val="1"/>
    <w:qFormat/>
    <w:uiPriority w:val="0"/>
    <w:pPr>
      <w:widowControl w:val="0"/>
      <w:numPr>
        <w:ilvl w:val="3"/>
        <w:numId w:val="1"/>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21">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22">
    <w:name w:val="标准文件_三级无标题"/>
    <w:basedOn w:val="23"/>
    <w:qFormat/>
    <w:uiPriority w:val="0"/>
    <w:pPr>
      <w:spacing w:before="0" w:beforeLines="0" w:after="0" w:afterLines="0"/>
      <w:outlineLvl w:val="9"/>
    </w:pPr>
    <w:rPr>
      <w:rFonts w:ascii="宋体" w:eastAsia="宋体"/>
    </w:rPr>
  </w:style>
  <w:style w:type="paragraph" w:customStyle="1" w:styleId="23">
    <w:name w:val="标准文件_三级条标题"/>
    <w:basedOn w:val="20"/>
    <w:next w:val="24"/>
    <w:qFormat/>
    <w:uiPriority w:val="0"/>
    <w:pPr>
      <w:widowControl/>
      <w:numPr>
        <w:ilvl w:val="4"/>
      </w:numPr>
      <w:ind w:left="3402"/>
      <w:outlineLvl w:val="3"/>
    </w:pPr>
  </w:style>
  <w:style w:type="paragraph" w:customStyle="1" w:styleId="2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标准文件_附录一级无标题"/>
    <w:basedOn w:val="26"/>
    <w:qFormat/>
    <w:uiPriority w:val="0"/>
    <w:pPr>
      <w:spacing w:before="0" w:beforeLines="0" w:after="0" w:afterLines="0" w:line="276" w:lineRule="auto"/>
      <w:outlineLvl w:val="9"/>
    </w:pPr>
    <w:rPr>
      <w:rFonts w:ascii="宋体" w:eastAsia="宋体"/>
    </w:rPr>
  </w:style>
  <w:style w:type="paragraph" w:customStyle="1" w:styleId="26">
    <w:name w:val="标准文件_附录一级条标题"/>
    <w:next w:val="24"/>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27">
    <w:name w:val="标准文件_一级条标题"/>
    <w:basedOn w:val="28"/>
    <w:next w:val="24"/>
    <w:qFormat/>
    <w:uiPriority w:val="0"/>
    <w:pPr>
      <w:numPr>
        <w:ilvl w:val="2"/>
      </w:numPr>
      <w:spacing w:before="50" w:beforeLines="50" w:after="50" w:afterLines="50"/>
      <w:outlineLvl w:val="1"/>
    </w:pPr>
  </w:style>
  <w:style w:type="paragraph" w:customStyle="1" w:styleId="28">
    <w:name w:val="标准文件_章标题"/>
    <w:next w:val="24"/>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9">
    <w:name w:val="标准文件_一级无标题"/>
    <w:basedOn w:val="27"/>
    <w:qFormat/>
    <w:uiPriority w:val="0"/>
    <w:pPr>
      <w:spacing w:before="0" w:beforeLines="0" w:after="0" w:afterLines="0"/>
      <w:outlineLvl w:val="9"/>
    </w:pPr>
    <w:rPr>
      <w:rFonts w:ascii="宋体" w:eastAsia="宋体"/>
    </w:rPr>
  </w:style>
  <w:style w:type="paragraph" w:customStyle="1" w:styleId="30">
    <w:name w:val="标准文件_附录二级无标题"/>
    <w:basedOn w:val="31"/>
    <w:qFormat/>
    <w:uiPriority w:val="0"/>
    <w:pPr>
      <w:spacing w:before="0" w:beforeLines="0" w:after="0" w:afterLines="0" w:line="276" w:lineRule="auto"/>
      <w:outlineLvl w:val="9"/>
    </w:pPr>
    <w:rPr>
      <w:rFonts w:ascii="宋体" w:eastAsia="宋体"/>
    </w:rPr>
  </w:style>
  <w:style w:type="paragraph" w:customStyle="1" w:styleId="31">
    <w:name w:val="标准文件_附录二级条标题"/>
    <w:basedOn w:val="26"/>
    <w:next w:val="24"/>
    <w:qFormat/>
    <w:uiPriority w:val="0"/>
    <w:pPr>
      <w:widowControl/>
      <w:numPr>
        <w:ilvl w:val="2"/>
      </w:numPr>
      <w:wordWrap w:val="0"/>
      <w:overflowPunct w:val="0"/>
      <w:autoSpaceDE w:val="0"/>
      <w:autoSpaceDN w:val="0"/>
      <w:ind w:left="0"/>
      <w:textAlignment w:val="baseline"/>
      <w:outlineLvl w:val="3"/>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CATARC</Company>
  <Pages>18</Pages>
  <Words>7981</Words>
  <Characters>8920</Characters>
  <Lines>1</Lines>
  <Paragraphs>1</Paragraphs>
  <TotalTime>12</TotalTime>
  <ScaleCrop>false</ScaleCrop>
  <LinksUpToDate>false</LinksUpToDate>
  <CharactersWithSpaces>9328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2020-03-14T05:01:00Z</dcterms:created>
  <dc:creator>小正太</dc:creator>
  <cp:lastModifiedBy>Zhao</cp:lastModifiedBy>
  <cp:lastPrinted>2009-03-09T07:38:00Z</cp:lastPrinted>
  <dcterms:modified xsi:type="dcterms:W3CDTF">2026-04-01T07:40:28Z</dcterms:modified>
  <dc:title>报告编号:WT-99-0195-02A0202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ED907CC386A241E7AE140D1947173728</vt:lpwstr>
  </property>
  <property fmtid="{D5CDD505-2E9C-101B-9397-08002B2CF9AE}" pid="4" name="KSOTemplateDocerSaveRecord">
    <vt:lpwstr>eyJoZGlkIjoiMzI0M2ExYTJiZGQyMTFlMDQ1YmYxYTg2NjkzNTgwN2UiLCJ1c2VySWQiOiI1MzgyMzI4NDQifQ==</vt:lpwstr>
  </property>
</Properties>
</file>